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D52476" w:rsidRPr="00D52476">
        <w:rPr>
          <w:rFonts w:ascii="Arial" w:hAnsi="Arial" w:cs="Arial"/>
          <w:b/>
          <w:sz w:val="22"/>
          <w:szCs w:val="22"/>
        </w:rPr>
        <w:t>Břeclav - Poštorná, ul. Okružní - oprava krytu komunikací a chodníků“</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D52476" w:rsidRPr="00D52476">
        <w:rPr>
          <w:rFonts w:ascii="Arial" w:eastAsia="Calibri" w:hAnsi="Arial" w:cs="Arial"/>
          <w:b/>
          <w:color w:val="000000"/>
          <w:sz w:val="22"/>
          <w:szCs w:val="22"/>
          <w:lang w:eastAsia="en-US"/>
        </w:rPr>
        <w:t>Břeclav - Poštorná, ul. Okružní - oprava krytu komunikací a chodníků“</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D52476" w:rsidRPr="00D52476">
        <w:rPr>
          <w:rFonts w:ascii="Arial" w:eastAsia="Calibri" w:hAnsi="Arial" w:cs="Arial"/>
          <w:b/>
          <w:color w:val="000000"/>
          <w:sz w:val="22"/>
          <w:szCs w:val="22"/>
          <w:lang w:eastAsia="en-US"/>
        </w:rPr>
        <w:t>Břeclav - Poštorná, ul. Okružní - oprava krytu komunikací a chodníků“</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552CAB">
        <w:rPr>
          <w:rFonts w:ascii="Arial" w:hAnsi="Arial" w:cs="Arial"/>
          <w:sz w:val="22"/>
          <w:szCs w:val="22"/>
        </w:rPr>
        <w:t>společností</w:t>
      </w:r>
      <w:r w:rsidR="00F602D0">
        <w:rPr>
          <w:rFonts w:ascii="Arial" w:hAnsi="Arial" w:cs="Arial"/>
          <w:sz w:val="22"/>
          <w:szCs w:val="22"/>
        </w:rPr>
        <w:t xml:space="preserve"> </w:t>
      </w:r>
      <w:proofErr w:type="spellStart"/>
      <w:r w:rsidR="00D52476" w:rsidRPr="00D52476">
        <w:rPr>
          <w:rFonts w:ascii="Arial" w:eastAsia="Calibri" w:hAnsi="Arial" w:cs="Arial"/>
          <w:color w:val="000000"/>
          <w:sz w:val="22"/>
          <w:szCs w:val="22"/>
          <w:lang w:eastAsia="en-US"/>
        </w:rPr>
        <w:t>Viadesigne</w:t>
      </w:r>
      <w:proofErr w:type="spellEnd"/>
      <w:r w:rsidR="00D52476" w:rsidRPr="00D52476">
        <w:rPr>
          <w:rFonts w:ascii="Arial" w:eastAsia="Calibri" w:hAnsi="Arial" w:cs="Arial"/>
          <w:color w:val="000000"/>
          <w:sz w:val="22"/>
          <w:szCs w:val="22"/>
          <w:lang w:eastAsia="en-US"/>
        </w:rPr>
        <w:t xml:space="preserve"> s.r.o., IČO: 276 96 880, Na Zahradách 1151/16, 690 02 Břeclav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F602D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E9467F">
        <w:rPr>
          <w:rFonts w:ascii="Arial" w:hAnsi="Arial" w:cs="Arial"/>
          <w:sz w:val="22"/>
          <w:szCs w:val="22"/>
        </w:rPr>
        <w:t>.</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 rámci zařízení staveniště zajistit podmínky pro výkon funkce autorského dozoru projektanta, technického dozoru stavebníka a případně činnost </w:t>
      </w:r>
      <w:r w:rsidRPr="00C11F05">
        <w:rPr>
          <w:rFonts w:ascii="Arial" w:hAnsi="Arial" w:cs="Arial"/>
          <w:sz w:val="22"/>
          <w:szCs w:val="22"/>
        </w:rPr>
        <w:lastRenderedPageBreak/>
        <w:t>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 xml:space="preserve">Místem plnění je </w:t>
      </w:r>
      <w:r w:rsidR="00263AD8">
        <w:rPr>
          <w:rFonts w:ascii="Arial" w:hAnsi="Arial" w:cs="Arial"/>
          <w:sz w:val="22"/>
          <w:szCs w:val="22"/>
        </w:rPr>
        <w:t>Poštorná</w:t>
      </w:r>
      <w:r w:rsidR="00663048">
        <w:rPr>
          <w:rFonts w:ascii="Arial" w:hAnsi="Arial" w:cs="Arial"/>
          <w:sz w:val="22"/>
          <w:szCs w:val="22"/>
        </w:rPr>
        <w:t xml:space="preserve"> </w:t>
      </w:r>
      <w:r w:rsidRPr="00C11F05">
        <w:rPr>
          <w:rFonts w:ascii="Arial" w:hAnsi="Arial" w:cs="Arial"/>
          <w:sz w:val="22"/>
          <w:szCs w:val="22"/>
        </w:rPr>
        <w:t xml:space="preserve">– ul. </w:t>
      </w:r>
      <w:r w:rsidR="00263AD8">
        <w:rPr>
          <w:rFonts w:ascii="Arial" w:hAnsi="Arial" w:cs="Arial"/>
          <w:sz w:val="22"/>
          <w:szCs w:val="22"/>
        </w:rPr>
        <w:t>Okružní</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Pr="00552CAB"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sidR="00240884">
        <w:rPr>
          <w:rFonts w:ascii="Arial" w:hAnsi="Arial" w:cs="Arial"/>
          <w:b/>
          <w:sz w:val="22"/>
          <w:szCs w:val="22"/>
        </w:rPr>
        <w:t>30</w:t>
      </w:r>
      <w:r w:rsidR="00F814D5" w:rsidRPr="00552CAB">
        <w:rPr>
          <w:rFonts w:ascii="Arial" w:hAnsi="Arial" w:cs="Arial"/>
          <w:b/>
          <w:sz w:val="22"/>
          <w:szCs w:val="22"/>
        </w:rPr>
        <w:t xml:space="preserve">. </w:t>
      </w:r>
      <w:r w:rsidR="00240884">
        <w:rPr>
          <w:rFonts w:ascii="Arial" w:hAnsi="Arial" w:cs="Arial"/>
          <w:b/>
          <w:sz w:val="22"/>
          <w:szCs w:val="22"/>
        </w:rPr>
        <w:t>4</w:t>
      </w:r>
      <w:r w:rsidR="00F814D5" w:rsidRPr="00552CAB">
        <w:rPr>
          <w:rFonts w:ascii="Arial" w:hAnsi="Arial" w:cs="Arial"/>
          <w:b/>
          <w:sz w:val="22"/>
          <w:szCs w:val="22"/>
        </w:rPr>
        <w:t>. 202</w:t>
      </w:r>
      <w:r w:rsidR="00240884">
        <w:rPr>
          <w:rFonts w:ascii="Arial" w:hAnsi="Arial" w:cs="Arial"/>
          <w:b/>
          <w:sz w:val="22"/>
          <w:szCs w:val="22"/>
        </w:rPr>
        <w:t>6</w:t>
      </w:r>
      <w:r w:rsidR="00FD1708" w:rsidRPr="00552CAB">
        <w:rPr>
          <w:rFonts w:ascii="Arial" w:hAnsi="Arial" w:cs="Arial"/>
          <w:sz w:val="22"/>
          <w:szCs w:val="22"/>
        </w:rPr>
        <w:t>.</w:t>
      </w:r>
      <w:r w:rsidRPr="00552CAB">
        <w:rPr>
          <w:rFonts w:ascii="Arial" w:hAnsi="Arial" w:cs="Arial"/>
          <w:sz w:val="22"/>
          <w:szCs w:val="22"/>
        </w:rPr>
        <w:t xml:space="preserve"> </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E36368" w:rsidRPr="00C11F05" w:rsidRDefault="00A64442" w:rsidP="00E36368">
      <w:pPr>
        <w:numPr>
          <w:ilvl w:val="0"/>
          <w:numId w:val="8"/>
        </w:numPr>
        <w:tabs>
          <w:tab w:val="left" w:pos="567"/>
        </w:tabs>
        <w:spacing w:line="276" w:lineRule="auto"/>
        <w:ind w:right="-426" w:hanging="720"/>
        <w:jc w:val="both"/>
        <w:rPr>
          <w:rFonts w:ascii="Arial" w:hAnsi="Arial" w:cs="Arial"/>
          <w:sz w:val="22"/>
          <w:szCs w:val="22"/>
        </w:rPr>
      </w:pPr>
      <w:r w:rsidRPr="00C11F05">
        <w:rPr>
          <w:rFonts w:ascii="Arial" w:hAnsi="Arial" w:cs="Arial"/>
          <w:sz w:val="22"/>
          <w:szCs w:val="22"/>
        </w:rPr>
        <w:t>T</w:t>
      </w:r>
      <w:r w:rsidR="00E36368" w:rsidRPr="00C11F05">
        <w:rPr>
          <w:rFonts w:ascii="Arial" w:hAnsi="Arial" w:cs="Arial"/>
          <w:sz w:val="22"/>
          <w:szCs w:val="22"/>
        </w:rPr>
        <w:t xml:space="preserve">ermín zahájení je </w:t>
      </w:r>
      <w:r w:rsidR="00240884">
        <w:rPr>
          <w:rFonts w:ascii="Arial" w:hAnsi="Arial" w:cs="Arial"/>
          <w:b/>
          <w:sz w:val="22"/>
          <w:szCs w:val="22"/>
        </w:rPr>
        <w:t>2</w:t>
      </w:r>
      <w:r w:rsidR="00C11F05" w:rsidRPr="00F814D5">
        <w:rPr>
          <w:rFonts w:ascii="Arial" w:hAnsi="Arial" w:cs="Arial"/>
          <w:b/>
          <w:sz w:val="22"/>
          <w:szCs w:val="22"/>
        </w:rPr>
        <w:t xml:space="preserve">. </w:t>
      </w:r>
      <w:r w:rsidR="00240884">
        <w:rPr>
          <w:rFonts w:ascii="Arial" w:hAnsi="Arial" w:cs="Arial"/>
          <w:b/>
          <w:sz w:val="22"/>
          <w:szCs w:val="22"/>
        </w:rPr>
        <w:t>3</w:t>
      </w:r>
      <w:r w:rsidR="00C11F05" w:rsidRPr="00F814D5">
        <w:rPr>
          <w:rFonts w:ascii="Arial" w:hAnsi="Arial" w:cs="Arial"/>
          <w:b/>
          <w:sz w:val="22"/>
          <w:szCs w:val="22"/>
        </w:rPr>
        <w:t xml:space="preserve">. </w:t>
      </w:r>
      <w:r w:rsidR="00E36368" w:rsidRPr="00F814D5">
        <w:rPr>
          <w:rFonts w:ascii="Arial" w:hAnsi="Arial" w:cs="Arial"/>
          <w:b/>
          <w:sz w:val="22"/>
          <w:szCs w:val="22"/>
        </w:rPr>
        <w:t>202</w:t>
      </w:r>
      <w:r w:rsidR="00263AD8">
        <w:rPr>
          <w:rFonts w:ascii="Arial" w:hAnsi="Arial" w:cs="Arial"/>
          <w:b/>
          <w:sz w:val="22"/>
          <w:szCs w:val="22"/>
        </w:rPr>
        <w:t>6</w:t>
      </w:r>
      <w:r w:rsidR="00552CAB">
        <w:rPr>
          <w:rFonts w:ascii="Arial" w:hAnsi="Arial" w:cs="Arial"/>
          <w:b/>
          <w:sz w:val="22"/>
          <w:szCs w:val="22"/>
        </w:rPr>
        <w:t>.</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lastRenderedPageBreak/>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xml:space="preserve">, </w:t>
      </w:r>
      <w:r w:rsidRPr="00C11F05">
        <w:rPr>
          <w:rFonts w:ascii="Arial" w:hAnsi="Arial" w:cs="Arial"/>
          <w:bCs/>
          <w:sz w:val="22"/>
          <w:szCs w:val="22"/>
        </w:rPr>
        <w:lastRenderedPageBreak/>
        <w:t>.</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lastRenderedPageBreak/>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lastRenderedPageBreak/>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lastRenderedPageBreak/>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A84791" w:rsidRDefault="00A84791" w:rsidP="00A84791">
      <w:pPr>
        <w:pStyle w:val="NormlnIMP0"/>
        <w:numPr>
          <w:ilvl w:val="0"/>
          <w:numId w:val="36"/>
        </w:numPr>
        <w:tabs>
          <w:tab w:val="left" w:pos="567"/>
        </w:tabs>
        <w:spacing w:line="276" w:lineRule="auto"/>
        <w:ind w:left="567" w:hanging="567"/>
        <w:jc w:val="both"/>
        <w:rPr>
          <w:rFonts w:ascii="Arial" w:hAnsi="Arial" w:cs="Arial"/>
          <w:sz w:val="22"/>
          <w:szCs w:val="22"/>
        </w:rPr>
      </w:pPr>
      <w:r>
        <w:rPr>
          <w:rFonts w:ascii="Arial" w:hAnsi="Arial" w:cs="Arial"/>
          <w:i/>
          <w:sz w:val="22"/>
          <w:szCs w:val="22"/>
          <w:u w:val="single"/>
        </w:rPr>
        <w:t xml:space="preserve">Zhotovitel je povinen předat Objednateli zaměření skutečného provedení stavby, které bude odevzdáno v jednotném výměnném formátu digitální technické mapy v souladu s aktuální verzí vyhlášky č. 140/2024 Sb. novelizující </w:t>
      </w:r>
      <w:proofErr w:type="spellStart"/>
      <w:r>
        <w:rPr>
          <w:rFonts w:ascii="Arial" w:hAnsi="Arial" w:cs="Arial"/>
          <w:i/>
          <w:sz w:val="22"/>
          <w:szCs w:val="22"/>
          <w:u w:val="single"/>
        </w:rPr>
        <w:t>vyhl</w:t>
      </w:r>
      <w:proofErr w:type="spellEnd"/>
      <w:r>
        <w:rPr>
          <w:rFonts w:ascii="Arial" w:hAnsi="Arial" w:cs="Arial"/>
          <w:i/>
          <w:sz w:val="22"/>
          <w:szCs w:val="22"/>
          <w:u w:val="single"/>
        </w:rPr>
        <w:t>. č. 393/2020 Sb., o digitální technické mapě kraje (dále jen „</w:t>
      </w:r>
      <w:r>
        <w:rPr>
          <w:rFonts w:ascii="Arial" w:hAnsi="Arial" w:cs="Arial"/>
          <w:b/>
          <w:i/>
          <w:sz w:val="22"/>
          <w:szCs w:val="22"/>
          <w:u w:val="single"/>
        </w:rPr>
        <w:t>DTM</w:t>
      </w:r>
      <w:r>
        <w:rPr>
          <w:rFonts w:ascii="Arial" w:hAnsi="Arial" w:cs="Arial"/>
          <w:i/>
          <w:sz w:val="22"/>
          <w:szCs w:val="22"/>
          <w:u w:val="single"/>
        </w:rPr>
        <w:t>“) a v rozsahu dat požadovaných Objednatelem uvedených jako součást Projektové dokumentace. Zhotovitel vloží data do informačního systému DTM a toto Objednateli doloží protokolem o úspěšném vložení.</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bookmarkStart w:id="0" w:name="_GoBack"/>
      <w:bookmarkEnd w:id="0"/>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w:t>
      </w:r>
      <w:r w:rsidR="00507104" w:rsidRPr="00C11F05">
        <w:rPr>
          <w:rFonts w:ascii="Arial" w:hAnsi="Arial" w:cs="Arial"/>
          <w:sz w:val="22"/>
          <w:szCs w:val="22"/>
        </w:rPr>
        <w:lastRenderedPageBreak/>
        <w:t xml:space="preserve">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w:t>
      </w:r>
      <w:r w:rsidRPr="00C11F05">
        <w:rPr>
          <w:rFonts w:ascii="Arial" w:hAnsi="Arial" w:cs="Arial"/>
          <w:sz w:val="22"/>
          <w:szCs w:val="22"/>
        </w:rPr>
        <w:lastRenderedPageBreak/>
        <w:t>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07" w:rsidRDefault="00F75807">
      <w:r>
        <w:separator/>
      </w:r>
    </w:p>
  </w:endnote>
  <w:endnote w:type="continuationSeparator" w:id="0">
    <w:p w:rsidR="00F75807" w:rsidRDefault="00F75807">
      <w:r>
        <w:continuationSeparator/>
      </w:r>
    </w:p>
  </w:endnote>
  <w:endnote w:type="continuationNotice" w:id="1">
    <w:p w:rsidR="00F75807" w:rsidRDefault="00F7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84791">
      <w:rPr>
        <w:rStyle w:val="slostrnky"/>
        <w:noProof/>
      </w:rPr>
      <w:t>16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07" w:rsidRDefault="00F75807">
      <w:r>
        <w:separator/>
      </w:r>
    </w:p>
  </w:footnote>
  <w:footnote w:type="continuationSeparator" w:id="0">
    <w:p w:rsidR="00F75807" w:rsidRDefault="00F75807">
      <w:r>
        <w:continuationSeparator/>
      </w:r>
    </w:p>
  </w:footnote>
  <w:footnote w:type="continuationNotice" w:id="1">
    <w:p w:rsidR="00F75807" w:rsidRDefault="00F7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 w:numId="3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6315"/>
    <w:rsid w:val="00026D3A"/>
    <w:rsid w:val="00062B28"/>
    <w:rsid w:val="00082B2E"/>
    <w:rsid w:val="00094907"/>
    <w:rsid w:val="000E06E4"/>
    <w:rsid w:val="000F100D"/>
    <w:rsid w:val="00102919"/>
    <w:rsid w:val="00106D88"/>
    <w:rsid w:val="00130871"/>
    <w:rsid w:val="001349F4"/>
    <w:rsid w:val="00157DA5"/>
    <w:rsid w:val="001633DF"/>
    <w:rsid w:val="001A60B8"/>
    <w:rsid w:val="001C52C0"/>
    <w:rsid w:val="001D7DF6"/>
    <w:rsid w:val="001F6364"/>
    <w:rsid w:val="002047B7"/>
    <w:rsid w:val="00205AA7"/>
    <w:rsid w:val="00233641"/>
    <w:rsid w:val="00237740"/>
    <w:rsid w:val="00240884"/>
    <w:rsid w:val="00250F12"/>
    <w:rsid w:val="00262A6C"/>
    <w:rsid w:val="00263AD8"/>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74BD"/>
    <w:rsid w:val="00A43E12"/>
    <w:rsid w:val="00A5516B"/>
    <w:rsid w:val="00A64442"/>
    <w:rsid w:val="00A7635D"/>
    <w:rsid w:val="00A76D51"/>
    <w:rsid w:val="00A84791"/>
    <w:rsid w:val="00A90D7B"/>
    <w:rsid w:val="00A972C4"/>
    <w:rsid w:val="00AB219B"/>
    <w:rsid w:val="00AB2AE3"/>
    <w:rsid w:val="00AC573C"/>
    <w:rsid w:val="00AD1AD8"/>
    <w:rsid w:val="00AE0238"/>
    <w:rsid w:val="00AF1DC0"/>
    <w:rsid w:val="00B02025"/>
    <w:rsid w:val="00B13803"/>
    <w:rsid w:val="00B20959"/>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61D16"/>
    <w:rsid w:val="00C629C8"/>
    <w:rsid w:val="00C81571"/>
    <w:rsid w:val="00C8391F"/>
    <w:rsid w:val="00C904DD"/>
    <w:rsid w:val="00C97572"/>
    <w:rsid w:val="00CE36AC"/>
    <w:rsid w:val="00CF07D2"/>
    <w:rsid w:val="00CF14DB"/>
    <w:rsid w:val="00D255DD"/>
    <w:rsid w:val="00D25E18"/>
    <w:rsid w:val="00D365B8"/>
    <w:rsid w:val="00D52476"/>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604068222">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6941</Words>
  <Characters>40952</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9</cp:revision>
  <cp:lastPrinted>2020-09-16T10:28:00Z</cp:lastPrinted>
  <dcterms:created xsi:type="dcterms:W3CDTF">2025-01-28T15:09:00Z</dcterms:created>
  <dcterms:modified xsi:type="dcterms:W3CDTF">2026-01-12T09:03:00Z</dcterms:modified>
</cp:coreProperties>
</file>