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13" w:rsidRDefault="001420A3" w:rsidP="00E9564D">
      <w:pPr>
        <w:ind w:left="10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-4329430</wp:posOffset>
                </wp:positionH>
                <wp:positionV relativeFrom="paragraph">
                  <wp:posOffset>4472305</wp:posOffset>
                </wp:positionV>
                <wp:extent cx="8686800" cy="0"/>
                <wp:effectExtent l="19050" t="22860" r="19050" b="2476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074E69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F8A3" id="Line 2" o:spid="_x0000_s1026" style="position:absolute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0.9pt,352.15pt" to="343.1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" strokecolor="#00b0f0" strokeweight="3pt">
                <v:shadow color="#074e69" opacity=".5" offset="1p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128905</wp:posOffset>
                </wp:positionV>
                <wp:extent cx="228600" cy="8686800"/>
                <wp:effectExtent l="22225" t="22860" r="34925" b="5334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686800"/>
                        </a:xfrm>
                        <a:prstGeom prst="rect">
                          <a:avLst/>
                        </a:prstGeom>
                        <a:solidFill>
                          <a:srgbClr val="0F9E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EECD4" id="Rectangle 4" o:spid="_x0000_s1026" style="position:absolute;margin-left:-29.4pt;margin-top:10.15pt;width:18pt;height:6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" fillcolor="#0f9ed5" strokecolor="#f2f2f2" strokeweight="3pt">
                <v:shadow on="t" color="#074e69" opacity=".5" offset="1pt"/>
              </v:rect>
            </w:pict>
          </mc:Fallback>
        </mc:AlternateContent>
      </w:r>
    </w:p>
    <w:p w:rsidR="004E4B13" w:rsidRDefault="004E4B13" w:rsidP="00E9564D">
      <w:pPr>
        <w:ind w:left="1080"/>
        <w:jc w:val="right"/>
      </w:pPr>
    </w:p>
    <w:p w:rsidR="004E4B13" w:rsidRPr="001F2DB9" w:rsidRDefault="004E4B13" w:rsidP="00E9564D"/>
    <w:tbl>
      <w:tblPr>
        <w:tblpPr w:leftFromText="141" w:rightFromText="141" w:vertAnchor="text" w:horzAnchor="page" w:tblpX="1828" w:tblpY="-66"/>
        <w:tblW w:w="0" w:type="auto"/>
        <w:tblLook w:val="01E0" w:firstRow="1" w:lastRow="1" w:firstColumn="1" w:lastColumn="1" w:noHBand="0" w:noVBand="0"/>
      </w:tblPr>
      <w:tblGrid>
        <w:gridCol w:w="3996"/>
        <w:gridCol w:w="3996"/>
      </w:tblGrid>
      <w:tr w:rsidR="00273C04" w:rsidRPr="001F2DB9" w:rsidTr="00273C04">
        <w:tc>
          <w:tcPr>
            <w:tcW w:w="7992" w:type="dxa"/>
            <w:gridSpan w:val="2"/>
          </w:tcPr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</w:tc>
      </w:tr>
      <w:tr w:rsidR="00273C04" w:rsidRPr="001F2DB9" w:rsidTr="00273C04">
        <w:tc>
          <w:tcPr>
            <w:tcW w:w="7992" w:type="dxa"/>
            <w:gridSpan w:val="2"/>
          </w:tcPr>
          <w:p w:rsidR="00273C04" w:rsidRPr="00273C04" w:rsidRDefault="00273C04" w:rsidP="00273C0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273C04">
              <w:rPr>
                <w:b/>
                <w:bCs/>
                <w:i/>
                <w:sz w:val="28"/>
                <w:szCs w:val="28"/>
                <w:lang w:val="x-none"/>
              </w:rPr>
              <w:t xml:space="preserve">Technická </w:t>
            </w:r>
            <w:r w:rsidR="00D226B5">
              <w:rPr>
                <w:b/>
                <w:bCs/>
                <w:i/>
                <w:sz w:val="28"/>
                <w:szCs w:val="28"/>
              </w:rPr>
              <w:t>specifikace</w:t>
            </w:r>
            <w:r w:rsidR="00D226B5">
              <w:rPr>
                <w:b/>
                <w:bCs/>
                <w:i/>
                <w:sz w:val="28"/>
                <w:szCs w:val="28"/>
                <w:lang w:val="x-none"/>
              </w:rPr>
              <w:t xml:space="preserve"> k</w:t>
            </w:r>
            <w:r w:rsidR="00EC3ECA">
              <w:rPr>
                <w:b/>
                <w:bCs/>
                <w:i/>
                <w:sz w:val="28"/>
                <w:szCs w:val="28"/>
              </w:rPr>
              <w:t xml:space="preserve"> veřejné zakázce „</w:t>
            </w:r>
            <w:r w:rsidR="00EC3ECA" w:rsidRPr="00EC3ECA">
              <w:rPr>
                <w:b/>
                <w:bCs/>
                <w:i/>
                <w:sz w:val="28"/>
                <w:szCs w:val="28"/>
              </w:rPr>
              <w:t xml:space="preserve">Rozvoj služeb </w:t>
            </w:r>
            <w:proofErr w:type="spellStart"/>
            <w:r w:rsidR="00EC3ECA" w:rsidRPr="00EC3ECA">
              <w:rPr>
                <w:b/>
                <w:bCs/>
                <w:i/>
                <w:sz w:val="28"/>
                <w:szCs w:val="28"/>
              </w:rPr>
              <w:t>eGovernmentu</w:t>
            </w:r>
            <w:proofErr w:type="spellEnd"/>
            <w:r w:rsidR="00EC3ECA" w:rsidRPr="00EC3ECA">
              <w:rPr>
                <w:b/>
                <w:bCs/>
                <w:i/>
                <w:sz w:val="28"/>
                <w:szCs w:val="28"/>
              </w:rPr>
              <w:t xml:space="preserve"> města Břeclav </w:t>
            </w:r>
            <w:r w:rsidR="00EC3ECA">
              <w:rPr>
                <w:b/>
                <w:bCs/>
                <w:i/>
                <w:sz w:val="28"/>
                <w:szCs w:val="28"/>
              </w:rPr>
              <w:t>–</w:t>
            </w:r>
            <w:r w:rsidR="00EC3ECA" w:rsidRPr="00EC3ECA">
              <w:rPr>
                <w:b/>
                <w:bCs/>
                <w:i/>
                <w:sz w:val="28"/>
                <w:szCs w:val="28"/>
              </w:rPr>
              <w:t xml:space="preserve"> ICT</w:t>
            </w:r>
            <w:r w:rsidR="00EC3ECA">
              <w:rPr>
                <w:b/>
                <w:bCs/>
                <w:i/>
                <w:sz w:val="28"/>
                <w:szCs w:val="28"/>
              </w:rPr>
              <w:t>“</w:t>
            </w:r>
          </w:p>
          <w:p w:rsidR="00273C04" w:rsidRPr="00925B45" w:rsidRDefault="00273C04" w:rsidP="00273C0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273C04" w:rsidRDefault="00273C04" w:rsidP="00723D1D">
            <w:pPr>
              <w:pStyle w:val="Nadpis3"/>
              <w:numPr>
                <w:ilvl w:val="0"/>
                <w:numId w:val="0"/>
              </w:numPr>
              <w:jc w:val="center"/>
              <w:rPr>
                <w:rFonts w:cs="Arial"/>
                <w:sz w:val="22"/>
                <w:szCs w:val="22"/>
                <w:lang w:val="cs-CZ" w:eastAsia="cs-CZ"/>
              </w:rPr>
            </w:pPr>
            <w:bookmarkStart w:id="0" w:name="_Toc185336394"/>
            <w:r w:rsidRPr="00273C04">
              <w:rPr>
                <w:rFonts w:cs="Arial"/>
                <w:sz w:val="22"/>
                <w:szCs w:val="22"/>
                <w:lang w:val="cs-CZ" w:eastAsia="cs-CZ"/>
              </w:rPr>
              <w:t>Registrační číslo projektu: CZ.06.01.01/00/22_009/0003052</w:t>
            </w:r>
            <w:bookmarkEnd w:id="0"/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  <w:r w:rsidRPr="00925B45">
              <w:rPr>
                <w:b/>
                <w:sz w:val="24"/>
                <w:szCs w:val="24"/>
              </w:rPr>
              <w:t>Vypracováno pro</w:t>
            </w:r>
            <w:r>
              <w:rPr>
                <w:b/>
                <w:sz w:val="24"/>
                <w:szCs w:val="24"/>
              </w:rPr>
              <w:t>:</w:t>
            </w:r>
            <w:r w:rsidRPr="00925B4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3C04" w:rsidRPr="001F2DB9" w:rsidTr="00273C04">
        <w:tc>
          <w:tcPr>
            <w:tcW w:w="7992" w:type="dxa"/>
            <w:gridSpan w:val="2"/>
          </w:tcPr>
          <w:p w:rsidR="00273C04" w:rsidRDefault="00273C04" w:rsidP="00273C04">
            <w:pPr>
              <w:rPr>
                <w:b/>
                <w:i/>
                <w:sz w:val="28"/>
                <w:szCs w:val="28"/>
              </w:rPr>
            </w:pPr>
          </w:p>
          <w:p w:rsidR="00273C04" w:rsidRPr="0037110C" w:rsidRDefault="00273C04" w:rsidP="00273C04">
            <w:pPr>
              <w:rPr>
                <w:b/>
                <w:i/>
                <w:sz w:val="28"/>
                <w:szCs w:val="28"/>
              </w:rPr>
            </w:pPr>
            <w:r w:rsidRPr="002B5089">
              <w:rPr>
                <w:b/>
                <w:i/>
                <w:sz w:val="28"/>
                <w:szCs w:val="28"/>
              </w:rPr>
              <w:t xml:space="preserve">Město </w:t>
            </w:r>
            <w:r>
              <w:rPr>
                <w:b/>
                <w:i/>
                <w:sz w:val="28"/>
                <w:szCs w:val="28"/>
              </w:rPr>
              <w:t>Břeclav</w:t>
            </w: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Default="00273C04" w:rsidP="00273C04">
            <w:r>
              <w:t xml:space="preserve">Náměstí </w:t>
            </w:r>
            <w:proofErr w:type="gramStart"/>
            <w:r>
              <w:t>T.G.</w:t>
            </w:r>
            <w:proofErr w:type="gramEnd"/>
            <w:r>
              <w:t xml:space="preserve"> Masaryka 42/3</w:t>
            </w:r>
          </w:p>
          <w:p w:rsidR="00273C04" w:rsidRDefault="00EC3ECA" w:rsidP="00273C04">
            <w:r>
              <w:t>690 02</w:t>
            </w:r>
            <w:bookmarkStart w:id="1" w:name="_GoBack"/>
            <w:bookmarkEnd w:id="1"/>
            <w:r w:rsidR="00273C04" w:rsidRPr="002B5089">
              <w:t xml:space="preserve"> </w:t>
            </w:r>
            <w:r w:rsidR="00273C04">
              <w:t>Břeclav</w:t>
            </w:r>
          </w:p>
          <w:p w:rsidR="00273C04" w:rsidRPr="001F2DB9" w:rsidRDefault="00273C04" w:rsidP="00273C04">
            <w:r w:rsidRPr="00A0188D">
              <w:t>Česká republika</w:t>
            </w:r>
          </w:p>
        </w:tc>
      </w:tr>
      <w:tr w:rsidR="00273C04" w:rsidRPr="001F2DB9" w:rsidTr="00273C04">
        <w:tc>
          <w:tcPr>
            <w:tcW w:w="7992" w:type="dxa"/>
            <w:gridSpan w:val="2"/>
          </w:tcPr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Default="00273C04" w:rsidP="00273C04">
            <w:pPr>
              <w:rPr>
                <w:b/>
                <w:sz w:val="24"/>
                <w:szCs w:val="24"/>
              </w:rPr>
            </w:pPr>
          </w:p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  <w:r w:rsidRPr="00925B45">
              <w:rPr>
                <w:b/>
                <w:sz w:val="24"/>
                <w:szCs w:val="24"/>
              </w:rPr>
              <w:t>Autor</w:t>
            </w:r>
          </w:p>
        </w:tc>
      </w:tr>
      <w:tr w:rsidR="00273C04" w:rsidRPr="001F2DB9" w:rsidTr="00273C04">
        <w:tc>
          <w:tcPr>
            <w:tcW w:w="7992" w:type="dxa"/>
            <w:gridSpan w:val="2"/>
          </w:tcPr>
          <w:p w:rsidR="00273C04" w:rsidRPr="001F2DB9" w:rsidRDefault="00273C04" w:rsidP="00273C04">
            <w:pPr>
              <w:jc w:val="right"/>
            </w:pPr>
            <w:r>
              <w:t>Ing. Jaroslav Prokop</w:t>
            </w:r>
          </w:p>
        </w:tc>
      </w:tr>
      <w:tr w:rsidR="00273C04" w:rsidRPr="001F2DB9" w:rsidTr="00273C04">
        <w:tc>
          <w:tcPr>
            <w:tcW w:w="7992" w:type="dxa"/>
            <w:gridSpan w:val="2"/>
          </w:tcPr>
          <w:p w:rsidR="00273C04" w:rsidRDefault="00273C04" w:rsidP="00273C04">
            <w:pPr>
              <w:jc w:val="right"/>
            </w:pP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  <w:r w:rsidRPr="00925B45">
              <w:rPr>
                <w:b/>
                <w:sz w:val="24"/>
                <w:szCs w:val="24"/>
              </w:rPr>
              <w:t>Datum</w:t>
            </w: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37110C" w:rsidRDefault="00273C04" w:rsidP="00273C04">
            <w:pPr>
              <w:jc w:val="right"/>
            </w:pPr>
            <w:proofErr w:type="gramStart"/>
            <w:r>
              <w:t>7.6.2024</w:t>
            </w:r>
            <w:proofErr w:type="gramEnd"/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Verze</w:t>
            </w: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37110C" w:rsidRDefault="0083293B" w:rsidP="00273C04">
            <w:pPr>
              <w:jc w:val="right"/>
            </w:pPr>
            <w:r>
              <w:t>2</w:t>
            </w:r>
            <w:r w:rsidR="00273C04">
              <w:t>.0</w:t>
            </w:r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Pr="00925B45" w:rsidRDefault="00273C04" w:rsidP="00273C04">
            <w:pPr>
              <w:rPr>
                <w:b/>
                <w:sz w:val="24"/>
                <w:szCs w:val="24"/>
              </w:rPr>
            </w:pPr>
          </w:p>
        </w:tc>
      </w:tr>
      <w:tr w:rsidR="0079700F" w:rsidRPr="00925B45" w:rsidTr="00075529">
        <w:tc>
          <w:tcPr>
            <w:tcW w:w="3996" w:type="dxa"/>
          </w:tcPr>
          <w:p w:rsidR="0079700F" w:rsidRDefault="0079700F" w:rsidP="00D542F9">
            <w:r>
              <w:t>Doplněno mana</w:t>
            </w:r>
            <w:r w:rsidR="00D542F9">
              <w:t>ž</w:t>
            </w:r>
            <w:r>
              <w:t>erské shrnutí</w:t>
            </w:r>
          </w:p>
        </w:tc>
        <w:tc>
          <w:tcPr>
            <w:tcW w:w="3996" w:type="dxa"/>
          </w:tcPr>
          <w:p w:rsidR="0079700F" w:rsidRDefault="0079700F" w:rsidP="0079700F">
            <w:pPr>
              <w:jc w:val="right"/>
            </w:pPr>
            <w:proofErr w:type="gramStart"/>
            <w:r>
              <w:t>21.6.2024</w:t>
            </w:r>
            <w:proofErr w:type="gramEnd"/>
          </w:p>
        </w:tc>
      </w:tr>
      <w:tr w:rsidR="0079700F" w:rsidRPr="00925B45" w:rsidTr="00075529">
        <w:tc>
          <w:tcPr>
            <w:tcW w:w="3996" w:type="dxa"/>
          </w:tcPr>
          <w:p w:rsidR="0079700F" w:rsidRDefault="000259FE" w:rsidP="00273C04">
            <w:r>
              <w:t>Úprava a textace pro doporučenou variantu</w:t>
            </w:r>
          </w:p>
        </w:tc>
        <w:tc>
          <w:tcPr>
            <w:tcW w:w="3996" w:type="dxa"/>
          </w:tcPr>
          <w:p w:rsidR="0079700F" w:rsidRDefault="000259FE" w:rsidP="000259FE">
            <w:pPr>
              <w:jc w:val="right"/>
            </w:pPr>
            <w:proofErr w:type="gramStart"/>
            <w:r>
              <w:t>9.9.2024</w:t>
            </w:r>
            <w:proofErr w:type="gramEnd"/>
          </w:p>
        </w:tc>
      </w:tr>
      <w:tr w:rsidR="001B07B5" w:rsidRPr="00925B45" w:rsidTr="00075529">
        <w:tc>
          <w:tcPr>
            <w:tcW w:w="3996" w:type="dxa"/>
          </w:tcPr>
          <w:p w:rsidR="007B3646" w:rsidRDefault="007B3646" w:rsidP="00273C04">
            <w:r>
              <w:t>Upraveno pro zadávací dokumentaci</w:t>
            </w:r>
          </w:p>
        </w:tc>
        <w:tc>
          <w:tcPr>
            <w:tcW w:w="3996" w:type="dxa"/>
          </w:tcPr>
          <w:p w:rsidR="001B07B5" w:rsidRDefault="00D542F9" w:rsidP="00D542F9">
            <w:pPr>
              <w:jc w:val="right"/>
            </w:pPr>
            <w:proofErr w:type="gramStart"/>
            <w:r>
              <w:t>6</w:t>
            </w:r>
            <w:r w:rsidR="007B3646">
              <w:t>.1.202</w:t>
            </w:r>
            <w:r>
              <w:t>5</w:t>
            </w:r>
            <w:proofErr w:type="gramEnd"/>
          </w:p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Default="00273C04" w:rsidP="001B07B5"/>
        </w:tc>
      </w:tr>
      <w:tr w:rsidR="00273C04" w:rsidRPr="00925B45" w:rsidTr="00273C04">
        <w:tc>
          <w:tcPr>
            <w:tcW w:w="7992" w:type="dxa"/>
            <w:gridSpan w:val="2"/>
          </w:tcPr>
          <w:p w:rsidR="00273C04" w:rsidRDefault="00273C04" w:rsidP="00273C04"/>
        </w:tc>
      </w:tr>
    </w:tbl>
    <w:p w:rsidR="00723D1D" w:rsidRDefault="001420A3" w:rsidP="00723D1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-5336540</wp:posOffset>
                </wp:positionH>
                <wp:positionV relativeFrom="paragraph">
                  <wp:posOffset>1233805</wp:posOffset>
                </wp:positionV>
                <wp:extent cx="5372100" cy="0"/>
                <wp:effectExtent l="24130" t="19050" r="23495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074E69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DF23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0.2pt,97.15pt" to="2.8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" strokecolor="#00b0f0" strokeweight="3pt">
                <v:shadow color="#074e69" opacity=".5" offset="1pt"/>
              </v:line>
            </w:pict>
          </mc:Fallback>
        </mc:AlternateContent>
      </w:r>
      <w:r w:rsidR="00723D1D">
        <w:br w:type="page"/>
      </w:r>
      <w:bookmarkStart w:id="2" w:name="_Toc195691108"/>
    </w:p>
    <w:p w:rsidR="004E4B13" w:rsidRPr="001F2DB9" w:rsidRDefault="00723D1D" w:rsidP="00723D1D">
      <w:r>
        <w:lastRenderedPageBreak/>
        <w:t>O</w:t>
      </w:r>
      <w:r w:rsidR="004E4B13" w:rsidRPr="001F2DB9">
        <w:t>bsah:</w:t>
      </w:r>
      <w:bookmarkEnd w:id="2"/>
    </w:p>
    <w:p w:rsidR="007B3646" w:rsidRDefault="004E4B13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F2DB9">
        <w:fldChar w:fldCharType="begin"/>
      </w:r>
      <w:r w:rsidRPr="001F2DB9">
        <w:instrText xml:space="preserve"> TOC \o "1-3" \h \z \u </w:instrText>
      </w:r>
      <w:r w:rsidRPr="001F2DB9">
        <w:fldChar w:fldCharType="separate"/>
      </w:r>
      <w:hyperlink w:anchor="_Toc185336394" w:history="1">
        <w:r w:rsidR="007B3646" w:rsidRPr="004A1633">
          <w:rPr>
            <w:rStyle w:val="Hypertextovodkaz"/>
            <w:rFonts w:cs="Arial"/>
            <w:noProof/>
          </w:rPr>
          <w:t>Registrační číslo projektu: CZ.06.01.01/00/22_009/0003052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_Toc185336394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85336395" w:history="1">
        <w:r w:rsidR="007B3646" w:rsidRPr="004A1633">
          <w:rPr>
            <w:rStyle w:val="Hypertextovodkaz"/>
            <w:noProof/>
          </w:rPr>
          <w:t>1</w:t>
        </w:r>
        <w:r w:rsidR="007B364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Úvod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_Toc185336395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3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396" w:history="1">
        <w:r w:rsidR="007B3646" w:rsidRPr="004A1633">
          <w:rPr>
            <w:rStyle w:val="Hypertextovodkaz"/>
            <w:noProof/>
          </w:rPr>
          <w:t>1.1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Účel dokumentu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_Toc185336396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3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85336397" w:history="1">
        <w:r w:rsidR="007B3646" w:rsidRPr="004A1633">
          <w:rPr>
            <w:rStyle w:val="Hypertextovodkaz"/>
            <w:noProof/>
          </w:rPr>
          <w:t>2</w:t>
        </w:r>
        <w:r w:rsidR="007B364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Technická specifikace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_Toc185336397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4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398" w:history="1">
        <w:r w:rsidR="007B3646" w:rsidRPr="004A1633">
          <w:rPr>
            <w:rStyle w:val="Hypertextovodkaz"/>
            <w:noProof/>
          </w:rPr>
          <w:t>2.1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Aktuální stav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_Toc185336398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4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399" w:history="1">
        <w:r w:rsidR="007B3646" w:rsidRPr="004A1633">
          <w:rPr>
            <w:rStyle w:val="Hypertextovodkaz"/>
            <w:noProof/>
          </w:rPr>
          <w:t>2.2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Diskové pole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_Toc185336399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4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0" w:history="1">
        <w:r w:rsidR="007B3646" w:rsidRPr="004A1633">
          <w:rPr>
            <w:rStyle w:val="Hypertextovodkaz"/>
            <w:noProof/>
          </w:rPr>
          <w:t>2.2.1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Popis požadovaného řešení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_Toc185336400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5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1" w:history="1">
        <w:r w:rsidR="007B3646" w:rsidRPr="004A1633">
          <w:rPr>
            <w:rStyle w:val="Hypertextovodkaz"/>
            <w:noProof/>
          </w:rPr>
          <w:t>2.2.2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Technická část – zadání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_Toc185336401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6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2" w:history="1">
        <w:r w:rsidR="007B3646" w:rsidRPr="004A1633">
          <w:rPr>
            <w:rStyle w:val="Hypertextovodkaz"/>
            <w:noProof/>
          </w:rPr>
          <w:t>2.3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Servery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_Toc185336402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6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3" w:history="1">
        <w:r w:rsidR="007B3646" w:rsidRPr="004A1633">
          <w:rPr>
            <w:rStyle w:val="Hypertextovodkaz"/>
            <w:noProof/>
          </w:rPr>
          <w:t>2.3.1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Shrnutí aktuálního stavu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_Toc185336403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6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4" w:history="1">
        <w:r w:rsidR="007B3646" w:rsidRPr="004A1633">
          <w:rPr>
            <w:rStyle w:val="Hypertextovodkaz"/>
            <w:noProof/>
          </w:rPr>
          <w:t>2.3.2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Popis požadovaného řešení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_Toc185336404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6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5" w:history="1">
        <w:r w:rsidR="007B3646" w:rsidRPr="004A1633">
          <w:rPr>
            <w:rStyle w:val="Hypertextovodkaz"/>
            <w:noProof/>
          </w:rPr>
          <w:t>2.3.3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Technická část – zadání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_Toc185336405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7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6" w:history="1">
        <w:r w:rsidR="007B3646" w:rsidRPr="004A1633">
          <w:rPr>
            <w:rStyle w:val="Hypertextovodkaz"/>
            <w:noProof/>
          </w:rPr>
          <w:t>2.4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Switche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_Toc185336406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7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7" w:history="1">
        <w:r w:rsidR="007B3646" w:rsidRPr="004A1633">
          <w:rPr>
            <w:rStyle w:val="Hypertextovodkaz"/>
            <w:noProof/>
          </w:rPr>
          <w:t>2.4.1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Technická část – zadání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_Toc185336407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7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8" w:history="1">
        <w:r w:rsidR="007B3646" w:rsidRPr="004A1633">
          <w:rPr>
            <w:rStyle w:val="Hypertextovodkaz"/>
            <w:noProof/>
          </w:rPr>
          <w:t>2.5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Windows server 2022 + CAL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_Toc185336408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7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09" w:history="1">
        <w:r w:rsidR="007B3646" w:rsidRPr="004A1633">
          <w:rPr>
            <w:rStyle w:val="Hypertextovodkaz"/>
            <w:noProof/>
          </w:rPr>
          <w:t>2.5.1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Shrnutí aktuálního stavu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fldChar w:fldCharType="begin"/>
        </w:r>
        <w:r w:rsidR="00C979A1">
          <w:rPr>
            <w:noProof/>
            <w:webHidden/>
          </w:rPr>
          <w:instrText xml:space="preserve"> PAGEREF _Toc185336408 \h </w:instrText>
        </w:r>
        <w:r w:rsidR="00C979A1">
          <w:rPr>
            <w:noProof/>
            <w:webHidden/>
          </w:rPr>
        </w:r>
        <w:r w:rsidR="00C979A1">
          <w:rPr>
            <w:noProof/>
            <w:webHidden/>
          </w:rPr>
          <w:fldChar w:fldCharType="separate"/>
        </w:r>
        <w:r w:rsidR="00C979A1">
          <w:rPr>
            <w:noProof/>
            <w:webHidden/>
          </w:rPr>
          <w:t>7</w:t>
        </w:r>
        <w:r w:rsidR="00C979A1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0" w:history="1">
        <w:r w:rsidR="007B3646" w:rsidRPr="004A1633">
          <w:rPr>
            <w:rStyle w:val="Hypertextovodkaz"/>
            <w:noProof/>
          </w:rPr>
          <w:t>2.5.2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Popis požadovaného řešení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_Toc185336410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8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1" w:history="1">
        <w:r w:rsidR="007B3646" w:rsidRPr="004A1633">
          <w:rPr>
            <w:rStyle w:val="Hypertextovodkaz"/>
            <w:noProof/>
          </w:rPr>
          <w:t>2.5.3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Technická část – zadání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fldChar w:fldCharType="begin"/>
        </w:r>
        <w:r w:rsidR="00C979A1">
          <w:rPr>
            <w:noProof/>
            <w:webHidden/>
          </w:rPr>
          <w:instrText xml:space="preserve"> PAGEREF _Toc185336410 \h </w:instrText>
        </w:r>
        <w:r w:rsidR="00C979A1">
          <w:rPr>
            <w:noProof/>
            <w:webHidden/>
          </w:rPr>
        </w:r>
        <w:r w:rsidR="00C979A1">
          <w:rPr>
            <w:noProof/>
            <w:webHidden/>
          </w:rPr>
          <w:fldChar w:fldCharType="separate"/>
        </w:r>
        <w:r w:rsidR="00C979A1">
          <w:rPr>
            <w:noProof/>
            <w:webHidden/>
          </w:rPr>
          <w:t>8</w:t>
        </w:r>
        <w:r w:rsidR="00C979A1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2" w:history="1">
        <w:r w:rsidR="007B3646" w:rsidRPr="004A1633">
          <w:rPr>
            <w:rStyle w:val="Hypertextovodkaz"/>
            <w:noProof/>
          </w:rPr>
          <w:t>2.6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MS Office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fldChar w:fldCharType="begin"/>
        </w:r>
        <w:r w:rsidR="00C979A1">
          <w:rPr>
            <w:noProof/>
            <w:webHidden/>
          </w:rPr>
          <w:instrText xml:space="preserve"> PAGEREF _Toc185336410 \h </w:instrText>
        </w:r>
        <w:r w:rsidR="00C979A1">
          <w:rPr>
            <w:noProof/>
            <w:webHidden/>
          </w:rPr>
        </w:r>
        <w:r w:rsidR="00C979A1">
          <w:rPr>
            <w:noProof/>
            <w:webHidden/>
          </w:rPr>
          <w:fldChar w:fldCharType="separate"/>
        </w:r>
        <w:r w:rsidR="00C979A1">
          <w:rPr>
            <w:noProof/>
            <w:webHidden/>
          </w:rPr>
          <w:t>8</w:t>
        </w:r>
        <w:r w:rsidR="00C979A1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3" w:history="1">
        <w:r w:rsidR="007B3646" w:rsidRPr="004A1633">
          <w:rPr>
            <w:rStyle w:val="Hypertextovodkaz"/>
            <w:noProof/>
          </w:rPr>
          <w:t>2.6.1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Popis požadovaného řešení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fldChar w:fldCharType="begin"/>
        </w:r>
        <w:r w:rsidR="00C979A1">
          <w:rPr>
            <w:noProof/>
            <w:webHidden/>
          </w:rPr>
          <w:instrText xml:space="preserve"> PAGEREF _Toc185336410 \h </w:instrText>
        </w:r>
        <w:r w:rsidR="00C979A1">
          <w:rPr>
            <w:noProof/>
            <w:webHidden/>
          </w:rPr>
        </w:r>
        <w:r w:rsidR="00C979A1">
          <w:rPr>
            <w:noProof/>
            <w:webHidden/>
          </w:rPr>
          <w:fldChar w:fldCharType="separate"/>
        </w:r>
        <w:r w:rsidR="00C979A1">
          <w:rPr>
            <w:noProof/>
            <w:webHidden/>
          </w:rPr>
          <w:t>8</w:t>
        </w:r>
        <w:r w:rsidR="00C979A1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4" w:history="1">
        <w:r w:rsidR="007B3646" w:rsidRPr="004A1633">
          <w:rPr>
            <w:rStyle w:val="Hypertextovodkaz"/>
            <w:noProof/>
          </w:rPr>
          <w:t>2.7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Vmware Enterprise 28 kusů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fldChar w:fldCharType="begin"/>
        </w:r>
        <w:r w:rsidR="00C979A1">
          <w:rPr>
            <w:noProof/>
            <w:webHidden/>
          </w:rPr>
          <w:instrText xml:space="preserve"> PAGEREF _Toc185336410 \h </w:instrText>
        </w:r>
        <w:r w:rsidR="00C979A1">
          <w:rPr>
            <w:noProof/>
            <w:webHidden/>
          </w:rPr>
        </w:r>
        <w:r w:rsidR="00C979A1">
          <w:rPr>
            <w:noProof/>
            <w:webHidden/>
          </w:rPr>
          <w:fldChar w:fldCharType="separate"/>
        </w:r>
        <w:r w:rsidR="00C979A1">
          <w:rPr>
            <w:noProof/>
            <w:webHidden/>
          </w:rPr>
          <w:t>8</w:t>
        </w:r>
        <w:r w:rsidR="00C979A1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5" w:history="1">
        <w:r w:rsidR="007B3646" w:rsidRPr="004A1633">
          <w:rPr>
            <w:rStyle w:val="Hypertextovodkaz"/>
            <w:noProof/>
          </w:rPr>
          <w:t>2.7.1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Shrnutí aktuálního stavu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_Toc185336415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9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6" w:history="1">
        <w:r w:rsidR="007B3646" w:rsidRPr="004A1633">
          <w:rPr>
            <w:rStyle w:val="Hypertextovodkaz"/>
            <w:noProof/>
          </w:rPr>
          <w:t>2.7.2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Popis požadovaného řešení</w:t>
        </w:r>
        <w:r w:rsidR="007B3646">
          <w:rPr>
            <w:noProof/>
            <w:webHidden/>
          </w:rPr>
          <w:tab/>
        </w:r>
        <w:r w:rsidR="00C979A1">
          <w:rPr>
            <w:noProof/>
          </w:rPr>
          <w:t>9</w:t>
        </w:r>
      </w:hyperlink>
    </w:p>
    <w:p w:rsidR="007B3646" w:rsidRDefault="00AC627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85336417" w:history="1">
        <w:r w:rsidR="007B3646" w:rsidRPr="004A1633">
          <w:rPr>
            <w:rStyle w:val="Hypertextovodkaz"/>
            <w:noProof/>
          </w:rPr>
          <w:t>3</w:t>
        </w:r>
        <w:r w:rsidR="007B364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Závěr + Managerské shrnutí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t>9</w:t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8" w:history="1">
        <w:r w:rsidR="007B3646" w:rsidRPr="004A1633">
          <w:rPr>
            <w:rStyle w:val="Hypertextovodkaz"/>
            <w:noProof/>
          </w:rPr>
          <w:t>3.1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Storage - Diskové řešení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_Toc185336418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C979A1">
          <w:rPr>
            <w:noProof/>
            <w:webHidden/>
          </w:rPr>
          <w:t>0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19" w:history="1">
        <w:r w:rsidR="007B3646" w:rsidRPr="004A1633">
          <w:rPr>
            <w:rStyle w:val="Hypertextovodkaz"/>
            <w:noProof/>
          </w:rPr>
          <w:t>3.2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Doplnění serverů</w:t>
        </w:r>
        <w:r w:rsidR="007B3646">
          <w:rPr>
            <w:noProof/>
            <w:webHidden/>
          </w:rPr>
          <w:tab/>
        </w:r>
        <w:r w:rsidR="00C979A1">
          <w:rPr>
            <w:noProof/>
            <w:webHidden/>
          </w:rPr>
          <w:t>1</w:t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_Toc185336419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20" w:history="1">
        <w:r w:rsidR="007B3646" w:rsidRPr="004A1633">
          <w:rPr>
            <w:rStyle w:val="Hypertextovodkaz"/>
            <w:noProof/>
          </w:rPr>
          <w:t>3.3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Doplnění aktivních prvků s podporou PoE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_Toc185336420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C979A1">
          <w:rPr>
            <w:noProof/>
            <w:webHidden/>
          </w:rPr>
          <w:t>1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21" w:history="1">
        <w:r w:rsidR="007B3646" w:rsidRPr="004A1633">
          <w:rPr>
            <w:rStyle w:val="Hypertextovodkaz"/>
            <w:noProof/>
          </w:rPr>
          <w:t>3.4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virtuálního prostředí Vmware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_Toc185336421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C979A1">
          <w:rPr>
            <w:noProof/>
            <w:webHidden/>
          </w:rPr>
          <w:t>2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22" w:history="1">
        <w:r w:rsidR="007B3646" w:rsidRPr="004A1633">
          <w:rPr>
            <w:rStyle w:val="Hypertextovodkaz"/>
            <w:noProof/>
          </w:rPr>
          <w:t>3.5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Microsoft Windows 2022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_Toc185336422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C979A1">
          <w:rPr>
            <w:noProof/>
            <w:webHidden/>
          </w:rPr>
          <w:t>2</w:t>
        </w:r>
        <w:r w:rsidR="007B3646">
          <w:rPr>
            <w:noProof/>
            <w:webHidden/>
          </w:rPr>
          <w:fldChar w:fldCharType="end"/>
        </w:r>
      </w:hyperlink>
    </w:p>
    <w:p w:rsidR="007B3646" w:rsidRDefault="00AC62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5336423" w:history="1">
        <w:r w:rsidR="007B3646" w:rsidRPr="004A1633">
          <w:rPr>
            <w:rStyle w:val="Hypertextovodkaz"/>
            <w:noProof/>
          </w:rPr>
          <w:t>3.6</w:t>
        </w:r>
        <w:r w:rsidR="007B364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646" w:rsidRPr="004A1633">
          <w:rPr>
            <w:rStyle w:val="Hypertextovodkaz"/>
            <w:noProof/>
          </w:rPr>
          <w:t>Licence MS Office</w:t>
        </w:r>
        <w:r w:rsidR="007B3646">
          <w:rPr>
            <w:noProof/>
            <w:webHidden/>
          </w:rPr>
          <w:tab/>
        </w:r>
        <w:r w:rsidR="007B3646">
          <w:rPr>
            <w:noProof/>
            <w:webHidden/>
          </w:rPr>
          <w:fldChar w:fldCharType="begin"/>
        </w:r>
        <w:r w:rsidR="007B3646">
          <w:rPr>
            <w:noProof/>
            <w:webHidden/>
          </w:rPr>
          <w:instrText xml:space="preserve"> PAGEREF _Toc185336423 \h </w:instrText>
        </w:r>
        <w:r w:rsidR="007B3646">
          <w:rPr>
            <w:noProof/>
            <w:webHidden/>
          </w:rPr>
        </w:r>
        <w:r w:rsidR="007B3646">
          <w:rPr>
            <w:noProof/>
            <w:webHidden/>
          </w:rPr>
          <w:fldChar w:fldCharType="separate"/>
        </w:r>
        <w:r w:rsidR="007B3646">
          <w:rPr>
            <w:noProof/>
            <w:webHidden/>
          </w:rPr>
          <w:t>1</w:t>
        </w:r>
        <w:r w:rsidR="00C979A1">
          <w:rPr>
            <w:noProof/>
            <w:webHidden/>
          </w:rPr>
          <w:t>2</w:t>
        </w:r>
        <w:r w:rsidR="007B3646">
          <w:rPr>
            <w:noProof/>
            <w:webHidden/>
          </w:rPr>
          <w:fldChar w:fldCharType="end"/>
        </w:r>
      </w:hyperlink>
    </w:p>
    <w:p w:rsidR="004E4B13" w:rsidRDefault="004E4B13" w:rsidP="00322109">
      <w:pPr>
        <w:ind w:left="4140"/>
      </w:pPr>
      <w:r w:rsidRPr="001F2DB9">
        <w:fldChar w:fldCharType="end"/>
      </w:r>
    </w:p>
    <w:p w:rsidR="004E4B13" w:rsidRDefault="005A65F9" w:rsidP="00042A49">
      <w:pPr>
        <w:pStyle w:val="Nadpis1"/>
        <w:pageBreakBefore/>
        <w:ind w:left="431" w:hanging="431"/>
      </w:pPr>
      <w:bookmarkStart w:id="3" w:name="_Toc185336395"/>
      <w:r>
        <w:lastRenderedPageBreak/>
        <w:t>Úvod</w:t>
      </w:r>
      <w:bookmarkEnd w:id="3"/>
    </w:p>
    <w:p w:rsidR="004E4B13" w:rsidRDefault="005A65F9" w:rsidP="00377C40">
      <w:pPr>
        <w:pStyle w:val="Nadpis2"/>
        <w:rPr>
          <w:lang w:val="cs-CZ"/>
        </w:rPr>
      </w:pPr>
      <w:bookmarkStart w:id="4" w:name="_Toc185336396"/>
      <w:r>
        <w:t xml:space="preserve">Účel </w:t>
      </w:r>
      <w:r w:rsidR="002B5089">
        <w:rPr>
          <w:lang w:val="cs-CZ"/>
        </w:rPr>
        <w:t>dokumentu</w:t>
      </w:r>
      <w:bookmarkEnd w:id="4"/>
    </w:p>
    <w:p w:rsidR="001B661C" w:rsidRDefault="001B661C" w:rsidP="001B661C">
      <w:pPr>
        <w:rPr>
          <w:lang w:eastAsia="x-none"/>
        </w:rPr>
      </w:pPr>
    </w:p>
    <w:p w:rsidR="001B661C" w:rsidRDefault="001B661C" w:rsidP="001B661C">
      <w:pPr>
        <w:ind w:firstLine="284"/>
        <w:rPr>
          <w:lang w:eastAsia="x-none"/>
        </w:rPr>
      </w:pPr>
      <w:r>
        <w:rPr>
          <w:lang w:eastAsia="x-none"/>
        </w:rPr>
        <w:t>T</w:t>
      </w:r>
      <w:r w:rsidRPr="001B661C">
        <w:rPr>
          <w:lang w:eastAsia="x-none"/>
        </w:rPr>
        <w:t xml:space="preserve">echnická </w:t>
      </w:r>
      <w:r w:rsidR="00D226B5">
        <w:rPr>
          <w:lang w:eastAsia="x-none"/>
        </w:rPr>
        <w:t>specifikace</w:t>
      </w:r>
      <w:r w:rsidRPr="001B661C">
        <w:rPr>
          <w:lang w:eastAsia="x-none"/>
        </w:rPr>
        <w:t xml:space="preserve"> k výběrovému řízení slouží k definování základních technických požadavků a specifikací </w:t>
      </w:r>
      <w:r>
        <w:rPr>
          <w:lang w:eastAsia="x-none"/>
        </w:rPr>
        <w:t>zadávací dokumentace</w:t>
      </w:r>
      <w:r w:rsidRPr="001B661C">
        <w:rPr>
          <w:lang w:eastAsia="x-none"/>
        </w:rPr>
        <w:t>. Tento dokument poskytuje přehled o technických aspektech projektu, které musí uchazeči splnit, aby mohli být považováni za kvalifikované k účasti ve výběrovém řízení.</w:t>
      </w:r>
      <w:r>
        <w:rPr>
          <w:lang w:eastAsia="x-none"/>
        </w:rPr>
        <w:t xml:space="preserve"> Zároveň reflektuje technologické potřeby s ohledem na strategii rozvoje IT Města Břeclavi a pokrytí současných i budoucích potřeb ve střednědobém horizontu. Tak jak jsou aktuálně známy IT oddělení Města Břeclav.</w:t>
      </w:r>
    </w:p>
    <w:p w:rsidR="001B661C" w:rsidRPr="001B661C" w:rsidRDefault="001B661C" w:rsidP="001B661C">
      <w:pPr>
        <w:rPr>
          <w:lang w:eastAsia="x-none"/>
        </w:rPr>
      </w:pPr>
    </w:p>
    <w:p w:rsidR="004E4B13" w:rsidRDefault="00FC243C" w:rsidP="00D86B8E">
      <w:pPr>
        <w:pStyle w:val="Nadpis1"/>
        <w:pageBreakBefore/>
        <w:ind w:left="431" w:hanging="431"/>
      </w:pPr>
      <w:bookmarkStart w:id="5" w:name="_Toc185336397"/>
      <w:r>
        <w:lastRenderedPageBreak/>
        <w:t xml:space="preserve">Technická </w:t>
      </w:r>
      <w:r w:rsidR="00D226B5">
        <w:rPr>
          <w:lang w:val="cs-CZ"/>
        </w:rPr>
        <w:t>specifikace</w:t>
      </w:r>
      <w:bookmarkEnd w:id="5"/>
    </w:p>
    <w:p w:rsidR="0076782A" w:rsidRPr="0076782A" w:rsidRDefault="002B5089" w:rsidP="0076782A">
      <w:pPr>
        <w:pStyle w:val="Nadpis2"/>
      </w:pPr>
      <w:bookmarkStart w:id="6" w:name="_Toc185336398"/>
      <w:r>
        <w:rPr>
          <w:lang w:val="cs-CZ"/>
        </w:rPr>
        <w:t>Aktuální stav</w:t>
      </w:r>
      <w:bookmarkEnd w:id="6"/>
    </w:p>
    <w:p w:rsidR="00FC243C" w:rsidRDefault="00FC243C" w:rsidP="00FC243C">
      <w:pPr>
        <w:ind w:left="576"/>
        <w:jc w:val="both"/>
        <w:textAlignment w:val="center"/>
        <w:rPr>
          <w:rFonts w:ascii="Calibri" w:hAnsi="Calibri" w:cs="Calibri"/>
          <w:sz w:val="22"/>
          <w:szCs w:val="22"/>
        </w:rPr>
      </w:pPr>
    </w:p>
    <w:p w:rsidR="006E5CDE" w:rsidRDefault="00FC243C" w:rsidP="00FC243C">
      <w:pPr>
        <w:ind w:left="576" w:firstLine="132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Podkladem pro stanovení zadávací dokumentace je Studie proveditelnosti projektu „Rozvoj služeb </w:t>
      </w:r>
      <w:proofErr w:type="spellStart"/>
      <w:r>
        <w:rPr>
          <w:rFonts w:ascii="Calibri" w:hAnsi="Calibri" w:cs="Calibri"/>
          <w:sz w:val="22"/>
          <w:szCs w:val="22"/>
        </w:rPr>
        <w:t>EGovernmentu</w:t>
      </w:r>
      <w:proofErr w:type="spellEnd"/>
      <w:r>
        <w:rPr>
          <w:rFonts w:ascii="Calibri" w:hAnsi="Calibri" w:cs="Calibri"/>
          <w:sz w:val="22"/>
          <w:szCs w:val="22"/>
        </w:rPr>
        <w:t xml:space="preserve"> města Břeclav a jeho příspěvkových organizací („ORPB“)</w:t>
      </w:r>
      <w:r w:rsidR="00657476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vypracovaná k červenci 2023. Průzkum provedený v rozmezí leden – červenec 2024 jak potřeb</w:t>
      </w:r>
      <w:r w:rsidR="0065747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tak jejich naplnění pro účely zadání technické části zadávací dokumentace obsahuje následující položky:</w:t>
      </w:r>
    </w:p>
    <w:p w:rsidR="00FC243C" w:rsidRDefault="00FC243C" w:rsidP="00FC243C">
      <w:pPr>
        <w:ind w:left="576" w:firstLine="132"/>
        <w:jc w:val="both"/>
        <w:textAlignment w:val="center"/>
        <w:rPr>
          <w:rFonts w:ascii="Calibri" w:hAnsi="Calibri" w:cs="Calibri"/>
          <w:sz w:val="22"/>
          <w:szCs w:val="22"/>
        </w:rPr>
      </w:pP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Diskové pole</w:t>
      </w: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Server 3 kusy</w:t>
      </w: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Switche</w:t>
      </w:r>
      <w:proofErr w:type="spellEnd"/>
      <w:r>
        <w:rPr>
          <w:rFonts w:ascii="Calibri" w:hAnsi="Calibri" w:cs="Calibri"/>
          <w:sz w:val="22"/>
          <w:szCs w:val="22"/>
        </w:rPr>
        <w:t xml:space="preserve"> 4 k</w:t>
      </w:r>
      <w:r w:rsidR="00A30DAE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</w:t>
      </w:r>
      <w:r w:rsidR="00A30DAE">
        <w:rPr>
          <w:rFonts w:ascii="Calibri" w:hAnsi="Calibri" w:cs="Calibri"/>
          <w:sz w:val="22"/>
          <w:szCs w:val="22"/>
        </w:rPr>
        <w:t>y</w:t>
      </w: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Licence Windows server 2022 – CAL 2022</w:t>
      </w: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Licence MS Office 50ks</w:t>
      </w:r>
    </w:p>
    <w:p w:rsidR="00FC243C" w:rsidRDefault="00FC243C" w:rsidP="00FC243C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Licence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Enterprice</w:t>
      </w:r>
      <w:proofErr w:type="spellEnd"/>
      <w:r>
        <w:rPr>
          <w:rFonts w:ascii="Calibri" w:hAnsi="Calibri" w:cs="Calibri"/>
          <w:sz w:val="22"/>
          <w:szCs w:val="22"/>
        </w:rPr>
        <w:t xml:space="preserve"> 28</w:t>
      </w:r>
      <w:r w:rsidR="00A30DAE">
        <w:rPr>
          <w:rFonts w:ascii="Calibri" w:hAnsi="Calibri" w:cs="Calibri"/>
          <w:sz w:val="22"/>
          <w:szCs w:val="22"/>
        </w:rPr>
        <w:t xml:space="preserve"> kusů</w:t>
      </w:r>
    </w:p>
    <w:p w:rsidR="00A30DAE" w:rsidRDefault="00A30DAE" w:rsidP="00A30DAE">
      <w:pPr>
        <w:jc w:val="both"/>
        <w:textAlignment w:val="center"/>
        <w:rPr>
          <w:rFonts w:ascii="Calibri" w:hAnsi="Calibri" w:cs="Calibri"/>
          <w:sz w:val="22"/>
          <w:szCs w:val="22"/>
        </w:rPr>
      </w:pPr>
    </w:p>
    <w:p w:rsidR="00A30DAE" w:rsidRDefault="00A30DAE" w:rsidP="00A30DAE">
      <w:p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Spolu s nákupem výše uvedeného HW + SW musí zadávací dokumentace obsahovat vždy podporu provozu:</w:t>
      </w:r>
    </w:p>
    <w:p w:rsidR="00A30DAE" w:rsidRDefault="00A30DAE" w:rsidP="00A30DAE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Zajištěním základní podpory požadovaném v rámci dodávek v rozsahu zajištění </w:t>
      </w:r>
      <w:proofErr w:type="spellStart"/>
      <w:r>
        <w:rPr>
          <w:rFonts w:ascii="Calibri" w:hAnsi="Calibri" w:cs="Calibri"/>
          <w:sz w:val="22"/>
          <w:szCs w:val="22"/>
        </w:rPr>
        <w:t>maintenance</w:t>
      </w:r>
      <w:proofErr w:type="spellEnd"/>
      <w:r>
        <w:rPr>
          <w:rFonts w:ascii="Calibri" w:hAnsi="Calibri" w:cs="Calibri"/>
          <w:sz w:val="22"/>
          <w:szCs w:val="22"/>
        </w:rPr>
        <w:t xml:space="preserve"> a SW aktualizací dle běžných podmínek poskytovaných výrobci</w:t>
      </w:r>
    </w:p>
    <w:p w:rsidR="00A30DAE" w:rsidRPr="00FC243C" w:rsidRDefault="00A30DAE" w:rsidP="00A30DAE">
      <w:pPr>
        <w:numPr>
          <w:ilvl w:val="0"/>
          <w:numId w:val="34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Zajištěním rozšířené podpory z vlastních prostředků příjemce dotace (Město Břeclav) </w:t>
      </w:r>
      <w:proofErr w:type="spellStart"/>
      <w:r>
        <w:rPr>
          <w:rFonts w:ascii="Calibri" w:hAnsi="Calibri" w:cs="Calibri"/>
          <w:sz w:val="22"/>
          <w:szCs w:val="22"/>
        </w:rPr>
        <w:t>ma</w:t>
      </w:r>
      <w:r w:rsidR="0065747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ntenance</w:t>
      </w:r>
      <w:proofErr w:type="spellEnd"/>
      <w:r>
        <w:rPr>
          <w:rFonts w:ascii="Calibri" w:hAnsi="Calibri" w:cs="Calibri"/>
          <w:sz w:val="22"/>
          <w:szCs w:val="22"/>
        </w:rPr>
        <w:t xml:space="preserve"> a SW aktualizace nad rámec běžných podmínek poskytovaných výrobcem</w:t>
      </w:r>
    </w:p>
    <w:p w:rsidR="00913948" w:rsidRDefault="00913948" w:rsidP="000131D2">
      <w:pPr>
        <w:ind w:left="360"/>
        <w:jc w:val="both"/>
        <w:textAlignment w:val="center"/>
        <w:rPr>
          <w:rFonts w:ascii="Calibri" w:hAnsi="Calibri" w:cs="Calibri"/>
          <w:sz w:val="22"/>
          <w:szCs w:val="22"/>
        </w:rPr>
      </w:pPr>
    </w:p>
    <w:p w:rsidR="00A30DAE" w:rsidRDefault="00A30DAE" w:rsidP="000131D2">
      <w:pPr>
        <w:ind w:left="36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době přípravy Technické části zadávací dokumentace došlo na trhu k zásadní změně akvizicí výrobce SW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  <w:r>
        <w:rPr>
          <w:rFonts w:ascii="Calibri" w:hAnsi="Calibri" w:cs="Calibri"/>
          <w:sz w:val="22"/>
          <w:szCs w:val="22"/>
        </w:rPr>
        <w:t xml:space="preserve"> společností </w:t>
      </w:r>
      <w:proofErr w:type="spellStart"/>
      <w:r>
        <w:rPr>
          <w:rFonts w:ascii="Calibri" w:hAnsi="Calibri" w:cs="Calibri"/>
          <w:sz w:val="22"/>
          <w:szCs w:val="22"/>
        </w:rPr>
        <w:t>Broadcom</w:t>
      </w:r>
      <w:proofErr w:type="spellEnd"/>
      <w:r>
        <w:rPr>
          <w:rFonts w:ascii="Calibri" w:hAnsi="Calibri" w:cs="Calibri"/>
          <w:sz w:val="22"/>
          <w:szCs w:val="22"/>
        </w:rPr>
        <w:t xml:space="preserve">. Ta po jejím uskutečnění na přelomu roku zásadním způsobem změnila licenční podmínky uvažovaného produktu. </w:t>
      </w:r>
      <w:r w:rsidR="002409BE">
        <w:rPr>
          <w:rFonts w:ascii="Calibri" w:hAnsi="Calibri" w:cs="Calibri"/>
          <w:sz w:val="22"/>
          <w:szCs w:val="22"/>
        </w:rPr>
        <w:t>Tím se dotklo podstatným způsobem rozložení způsobilých výdajů</w:t>
      </w:r>
      <w:r w:rsidR="007E57EE">
        <w:rPr>
          <w:rFonts w:ascii="Calibri" w:hAnsi="Calibri" w:cs="Calibri"/>
          <w:sz w:val="22"/>
          <w:szCs w:val="22"/>
        </w:rPr>
        <w:t xml:space="preserve">, které </w:t>
      </w:r>
      <w:r w:rsidRPr="007E57EE">
        <w:rPr>
          <w:rFonts w:ascii="Calibri" w:hAnsi="Calibri" w:cs="Calibri"/>
          <w:sz w:val="22"/>
          <w:szCs w:val="22"/>
        </w:rPr>
        <w:t xml:space="preserve">bylo nutné zohlednit a detailněji zapracovat do položky </w:t>
      </w:r>
      <w:r w:rsidR="002409BE" w:rsidRPr="007E57EE">
        <w:rPr>
          <w:rFonts w:ascii="Calibri" w:hAnsi="Calibri" w:cs="Calibri"/>
          <w:sz w:val="22"/>
          <w:szCs w:val="22"/>
        </w:rPr>
        <w:t xml:space="preserve">Licence </w:t>
      </w:r>
      <w:proofErr w:type="spellStart"/>
      <w:r w:rsidRPr="007E57EE">
        <w:rPr>
          <w:rFonts w:ascii="Calibri" w:hAnsi="Calibri" w:cs="Calibri"/>
          <w:sz w:val="22"/>
          <w:szCs w:val="22"/>
        </w:rPr>
        <w:t>VMware</w:t>
      </w:r>
      <w:proofErr w:type="spellEnd"/>
      <w:r w:rsidR="002409BE" w:rsidRPr="007E57EE">
        <w:rPr>
          <w:rFonts w:ascii="Calibri" w:hAnsi="Calibri" w:cs="Calibri"/>
          <w:sz w:val="22"/>
          <w:szCs w:val="22"/>
        </w:rPr>
        <w:t xml:space="preserve"> 28 kusů</w:t>
      </w:r>
      <w:r w:rsidRPr="007E57EE">
        <w:rPr>
          <w:rFonts w:ascii="Calibri" w:hAnsi="Calibri" w:cs="Calibri"/>
          <w:sz w:val="22"/>
          <w:szCs w:val="22"/>
        </w:rPr>
        <w:t>.</w:t>
      </w:r>
    </w:p>
    <w:p w:rsidR="002409BE" w:rsidRDefault="002409BE" w:rsidP="000131D2">
      <w:pPr>
        <w:ind w:left="360"/>
        <w:jc w:val="both"/>
        <w:textAlignment w:val="center"/>
        <w:rPr>
          <w:rFonts w:ascii="Calibri" w:hAnsi="Calibri" w:cs="Calibri"/>
          <w:sz w:val="22"/>
          <w:szCs w:val="22"/>
        </w:rPr>
      </w:pPr>
    </w:p>
    <w:p w:rsidR="002409BE" w:rsidRDefault="002409BE" w:rsidP="002409BE">
      <w:pPr>
        <w:pStyle w:val="Nadpis2"/>
      </w:pPr>
      <w:bookmarkStart w:id="7" w:name="_Toc185336399"/>
      <w:r>
        <w:t>Diskové pole</w:t>
      </w:r>
      <w:bookmarkEnd w:id="7"/>
    </w:p>
    <w:p w:rsidR="002409BE" w:rsidRDefault="002409BE" w:rsidP="002409BE">
      <w:pPr>
        <w:rPr>
          <w:lang w:val="x-none" w:eastAsia="x-none"/>
        </w:rPr>
      </w:pPr>
    </w:p>
    <w:p w:rsidR="00C12368" w:rsidRDefault="00C12368" w:rsidP="0047282C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Současné řešení je provozováno úřadem bez podpory. Zároveň jeho konfigurace není provozována v režimu synchronního </w:t>
      </w:r>
      <w:proofErr w:type="spellStart"/>
      <w:r>
        <w:rPr>
          <w:lang w:val="x-none" w:eastAsia="x-none"/>
        </w:rPr>
        <w:t>mirroringu</w:t>
      </w:r>
      <w:proofErr w:type="spellEnd"/>
      <w:r>
        <w:rPr>
          <w:lang w:val="x-none" w:eastAsia="x-none"/>
        </w:rPr>
        <w:t>. K replikaci mezi diskovými dochází pouze asynchronně. Potřeby úřadu ze strategickým výhledem na da</w:t>
      </w:r>
      <w:r w:rsidR="00D542F9">
        <w:rPr>
          <w:lang w:eastAsia="x-none"/>
        </w:rPr>
        <w:t>l</w:t>
      </w:r>
      <w:r>
        <w:rPr>
          <w:lang w:val="x-none" w:eastAsia="x-none"/>
        </w:rPr>
        <w:t>ších cca 5-7 let spolu s rozvojem dalších služeb e-agend vedlo k potřebě obměny celého prostředí.</w:t>
      </w:r>
    </w:p>
    <w:p w:rsidR="00C12368" w:rsidRDefault="00C12368" w:rsidP="002409BE">
      <w:pPr>
        <w:rPr>
          <w:lang w:val="x-none" w:eastAsia="x-none"/>
        </w:rPr>
      </w:pPr>
    </w:p>
    <w:p w:rsidR="00C12368" w:rsidRPr="0047282C" w:rsidRDefault="00565E89" w:rsidP="0047282C">
      <w:pPr>
        <w:ind w:firstLine="568"/>
        <w:rPr>
          <w:lang w:eastAsia="x-none"/>
        </w:rPr>
      </w:pPr>
      <w:r>
        <w:rPr>
          <w:lang w:val="x-none" w:eastAsia="x-none"/>
        </w:rPr>
        <w:t xml:space="preserve">Cílem je dodávka a instalace včetně začlenění </w:t>
      </w:r>
      <w:r w:rsidR="0047282C">
        <w:rPr>
          <w:lang w:eastAsia="x-none"/>
        </w:rPr>
        <w:t xml:space="preserve">dodané technologie </w:t>
      </w:r>
      <w:r>
        <w:rPr>
          <w:lang w:val="x-none" w:eastAsia="x-none"/>
        </w:rPr>
        <w:t>do stávající infrastruktur</w:t>
      </w:r>
      <w:r w:rsidR="0047282C">
        <w:rPr>
          <w:lang w:eastAsia="x-none"/>
        </w:rPr>
        <w:t>y.</w:t>
      </w:r>
      <w:r>
        <w:rPr>
          <w:lang w:val="x-none" w:eastAsia="x-none"/>
        </w:rPr>
        <w:t xml:space="preserve"> </w:t>
      </w:r>
      <w:r w:rsidR="0047282C">
        <w:rPr>
          <w:lang w:eastAsia="x-none"/>
        </w:rPr>
        <w:t>Pro režim vysoké dostupnosti plánujeme využít instalaci do</w:t>
      </w:r>
      <w:r>
        <w:rPr>
          <w:lang w:val="x-none" w:eastAsia="x-none"/>
        </w:rPr>
        <w:t xml:space="preserve"> dvou geograficky oddělených lokalit v rámci města. Mezi </w:t>
      </w:r>
      <w:r w:rsidR="0047282C">
        <w:rPr>
          <w:lang w:eastAsia="x-none"/>
        </w:rPr>
        <w:t>lokalitami</w:t>
      </w:r>
      <w:r>
        <w:rPr>
          <w:lang w:val="x-none" w:eastAsia="x-none"/>
        </w:rPr>
        <w:t xml:space="preserve"> je vyžadována synchronní replikace vybraných oddílů. V případě havárie </w:t>
      </w:r>
      <w:r w:rsidR="0047282C">
        <w:rPr>
          <w:lang w:eastAsia="x-none"/>
        </w:rPr>
        <w:t xml:space="preserve">části </w:t>
      </w:r>
      <w:proofErr w:type="spellStart"/>
      <w:r w:rsidR="0047282C">
        <w:rPr>
          <w:lang w:eastAsia="x-none"/>
        </w:rPr>
        <w:t>datastore</w:t>
      </w:r>
      <w:proofErr w:type="spellEnd"/>
      <w:r w:rsidR="0047282C">
        <w:rPr>
          <w:lang w:eastAsia="x-none"/>
        </w:rPr>
        <w:t xml:space="preserve"> </w:t>
      </w:r>
      <w:r w:rsidR="00FE6B9F">
        <w:rPr>
          <w:lang w:eastAsia="x-none"/>
        </w:rPr>
        <w:t>jedn</w:t>
      </w:r>
      <w:r w:rsidR="0047282C">
        <w:rPr>
          <w:lang w:eastAsia="x-none"/>
        </w:rPr>
        <w:t>é lokality</w:t>
      </w:r>
      <w:r w:rsidR="00FE6B9F">
        <w:rPr>
          <w:lang w:eastAsia="x-none"/>
        </w:rPr>
        <w:t xml:space="preserve"> </w:t>
      </w:r>
      <w:r>
        <w:rPr>
          <w:lang w:val="x-none" w:eastAsia="x-none"/>
        </w:rPr>
        <w:t xml:space="preserve">nebo výpadku celé lokality bude zajištěn </w:t>
      </w:r>
      <w:proofErr w:type="spellStart"/>
      <w:r w:rsidR="00FE6B9F">
        <w:rPr>
          <w:lang w:eastAsia="x-none"/>
        </w:rPr>
        <w:t>bezvýpadkový</w:t>
      </w:r>
      <w:proofErr w:type="spellEnd"/>
      <w:r w:rsidR="00FE6B9F">
        <w:rPr>
          <w:lang w:eastAsia="x-none"/>
        </w:rPr>
        <w:t xml:space="preserve"> </w:t>
      </w:r>
      <w:r>
        <w:rPr>
          <w:lang w:val="x-none" w:eastAsia="x-none"/>
        </w:rPr>
        <w:t xml:space="preserve">provoz z druhé lokality. </w:t>
      </w:r>
      <w:r w:rsidR="0047282C">
        <w:rPr>
          <w:lang w:eastAsia="x-none"/>
        </w:rPr>
        <w:t>Z jednání s t</w:t>
      </w:r>
      <w:r w:rsidR="000259FE">
        <w:rPr>
          <w:lang w:eastAsia="x-none"/>
        </w:rPr>
        <w:t>ý</w:t>
      </w:r>
      <w:r w:rsidR="0047282C">
        <w:rPr>
          <w:lang w:eastAsia="x-none"/>
        </w:rPr>
        <w:t>mem IT úřadu a při zahrnutí plánu r</w:t>
      </w:r>
      <w:r w:rsidR="00FE6B9F">
        <w:rPr>
          <w:lang w:eastAsia="x-none"/>
        </w:rPr>
        <w:t xml:space="preserve">ozvoje </w:t>
      </w:r>
      <w:r w:rsidR="0047282C">
        <w:rPr>
          <w:lang w:eastAsia="x-none"/>
        </w:rPr>
        <w:t xml:space="preserve">poskytovaných IT aktivit města </w:t>
      </w:r>
      <w:r>
        <w:rPr>
          <w:lang w:val="x-none" w:eastAsia="x-none"/>
        </w:rPr>
        <w:t xml:space="preserve">nejlépe </w:t>
      </w:r>
      <w:r w:rsidR="0047282C">
        <w:rPr>
          <w:lang w:eastAsia="x-none"/>
        </w:rPr>
        <w:t xml:space="preserve">požadavky </w:t>
      </w:r>
      <w:r w:rsidR="00FE6B9F">
        <w:rPr>
          <w:lang w:eastAsia="x-none"/>
        </w:rPr>
        <w:t xml:space="preserve">zajišťuje </w:t>
      </w:r>
      <w:r>
        <w:rPr>
          <w:lang w:val="x-none" w:eastAsia="x-none"/>
        </w:rPr>
        <w:t xml:space="preserve">technologie Metro Cluster IP. </w:t>
      </w:r>
      <w:r w:rsidR="00FE6B9F">
        <w:rPr>
          <w:lang w:eastAsia="x-none"/>
        </w:rPr>
        <w:t>Jde o řešení komunikačně postavené nad síťovou komunikační vrstvou jako LAN SAN prostředí. To je v </w:t>
      </w:r>
      <w:r w:rsidR="0047282C">
        <w:rPr>
          <w:lang w:eastAsia="x-none"/>
        </w:rPr>
        <w:t>současné</w:t>
      </w:r>
      <w:r w:rsidR="00FE6B9F">
        <w:rPr>
          <w:lang w:eastAsia="x-none"/>
        </w:rPr>
        <w:t xml:space="preserve"> době </w:t>
      </w:r>
      <w:r>
        <w:rPr>
          <w:lang w:val="x-none" w:eastAsia="x-none"/>
        </w:rPr>
        <w:t xml:space="preserve">tvořeno 10Gb </w:t>
      </w:r>
      <w:proofErr w:type="spellStart"/>
      <w:r>
        <w:rPr>
          <w:lang w:val="x-none" w:eastAsia="x-none"/>
        </w:rPr>
        <w:t>switchi</w:t>
      </w:r>
      <w:proofErr w:type="spellEnd"/>
      <w:r>
        <w:rPr>
          <w:lang w:val="x-none" w:eastAsia="x-none"/>
        </w:rPr>
        <w:t xml:space="preserve"> na obou lokalitách. </w:t>
      </w:r>
      <w:r w:rsidR="00FE6B9F">
        <w:rPr>
          <w:lang w:eastAsia="x-none"/>
        </w:rPr>
        <w:t xml:space="preserve">Pro snížení latencí, zvýšení propustnosti IOPS provozu a celkové moderní řešení s výhledem na rozvoj IT technologií a její rostoucí náročnost v čase doporučuji volit řešení s podporou alespoň 25Gbps technologie. V průběhu příprav byla taková řešení konzultována s několika výrobci a jejich technickými týmy. Celkové řešení je proto třeba brát jako celek SAN + </w:t>
      </w:r>
      <w:proofErr w:type="spellStart"/>
      <w:r w:rsidR="00FE6B9F">
        <w:rPr>
          <w:lang w:eastAsia="x-none"/>
        </w:rPr>
        <w:t>datastore</w:t>
      </w:r>
      <w:proofErr w:type="spellEnd"/>
      <w:r w:rsidR="00FE6B9F">
        <w:rPr>
          <w:lang w:eastAsia="x-none"/>
        </w:rPr>
        <w:t xml:space="preserve"> jednotky + </w:t>
      </w:r>
      <w:r w:rsidR="0047282C">
        <w:rPr>
          <w:lang w:eastAsia="x-none"/>
        </w:rPr>
        <w:t xml:space="preserve">případně </w:t>
      </w:r>
      <w:proofErr w:type="spellStart"/>
      <w:r w:rsidR="0047282C">
        <w:rPr>
          <w:lang w:eastAsia="x-none"/>
        </w:rPr>
        <w:t>w</w:t>
      </w:r>
      <w:r w:rsidR="00FE6B9F">
        <w:rPr>
          <w:lang w:eastAsia="x-none"/>
        </w:rPr>
        <w:t>itness</w:t>
      </w:r>
      <w:proofErr w:type="spellEnd"/>
      <w:r w:rsidR="00607EB0">
        <w:rPr>
          <w:lang w:eastAsia="x-none"/>
        </w:rPr>
        <w:t xml:space="preserve">, který pro výsledný skutečný výkon vyžaduje nebo může vyžadovat optimalizaci. </w:t>
      </w:r>
      <w:r w:rsidR="00FE6B9F">
        <w:rPr>
          <w:lang w:eastAsia="x-none"/>
        </w:rPr>
        <w:t xml:space="preserve">Proto spolu </w:t>
      </w:r>
      <w:r>
        <w:rPr>
          <w:lang w:val="x-none" w:eastAsia="x-none"/>
        </w:rPr>
        <w:t>s</w:t>
      </w:r>
      <w:r w:rsidR="00607EB0">
        <w:rPr>
          <w:lang w:val="x-none" w:eastAsia="x-none"/>
        </w:rPr>
        <w:t> </w:t>
      </w:r>
      <w:proofErr w:type="spellStart"/>
      <w:r w:rsidR="00607EB0">
        <w:rPr>
          <w:lang w:eastAsia="x-none"/>
        </w:rPr>
        <w:t>datastore</w:t>
      </w:r>
      <w:proofErr w:type="spellEnd"/>
      <w:r w:rsidR="00607EB0">
        <w:rPr>
          <w:lang w:eastAsia="x-none"/>
        </w:rPr>
        <w:t xml:space="preserve"> jednotkami</w:t>
      </w:r>
      <w:r>
        <w:rPr>
          <w:lang w:val="x-none" w:eastAsia="x-none"/>
        </w:rPr>
        <w:t xml:space="preserve"> požadujeme dodání 4 </w:t>
      </w:r>
      <w:proofErr w:type="spellStart"/>
      <w:r>
        <w:rPr>
          <w:lang w:val="x-none" w:eastAsia="x-none"/>
        </w:rPr>
        <w:t>switchů</w:t>
      </w:r>
      <w:proofErr w:type="spellEnd"/>
      <w:r>
        <w:rPr>
          <w:lang w:val="x-none" w:eastAsia="x-none"/>
        </w:rPr>
        <w:t xml:space="preserve"> pro SAN </w:t>
      </w:r>
      <w:r w:rsidR="00607EB0">
        <w:rPr>
          <w:lang w:eastAsia="x-none"/>
        </w:rPr>
        <w:t xml:space="preserve">komunikaci mezi nody, </w:t>
      </w:r>
      <w:proofErr w:type="spellStart"/>
      <w:r w:rsidR="00607EB0">
        <w:rPr>
          <w:lang w:eastAsia="x-none"/>
        </w:rPr>
        <w:t>witness</w:t>
      </w:r>
      <w:proofErr w:type="spellEnd"/>
      <w:r w:rsidR="00607EB0">
        <w:rPr>
          <w:lang w:eastAsia="x-none"/>
        </w:rPr>
        <w:t xml:space="preserve"> a host </w:t>
      </w:r>
      <w:proofErr w:type="spellStart"/>
      <w:r w:rsidR="00607EB0">
        <w:rPr>
          <w:lang w:eastAsia="x-none"/>
        </w:rPr>
        <w:t>VMware</w:t>
      </w:r>
      <w:proofErr w:type="spellEnd"/>
      <w:r w:rsidR="00607EB0">
        <w:rPr>
          <w:lang w:eastAsia="x-none"/>
        </w:rPr>
        <w:t xml:space="preserve"> prostředím na platformě</w:t>
      </w:r>
      <w:r>
        <w:rPr>
          <w:lang w:val="x-none" w:eastAsia="x-none"/>
        </w:rPr>
        <w:t xml:space="preserve"> minimálně 25Gb</w:t>
      </w:r>
      <w:r w:rsidR="00607EB0">
        <w:rPr>
          <w:lang w:eastAsia="x-none"/>
        </w:rPr>
        <w:t>ps</w:t>
      </w:r>
      <w:r>
        <w:rPr>
          <w:lang w:val="x-none" w:eastAsia="x-none"/>
        </w:rPr>
        <w:t xml:space="preserve"> s minimálně 24 porty </w:t>
      </w:r>
      <w:r>
        <w:rPr>
          <w:lang w:val="x-none" w:eastAsia="x-none"/>
        </w:rPr>
        <w:lastRenderedPageBreak/>
        <w:t xml:space="preserve">na </w:t>
      </w:r>
      <w:proofErr w:type="spellStart"/>
      <w:r>
        <w:rPr>
          <w:lang w:val="x-none" w:eastAsia="x-none"/>
        </w:rPr>
        <w:t>switch</w:t>
      </w:r>
      <w:proofErr w:type="spellEnd"/>
      <w:r w:rsidR="0047282C">
        <w:rPr>
          <w:lang w:eastAsia="x-none"/>
        </w:rPr>
        <w:t>.</w:t>
      </w:r>
      <w:r w:rsidR="00607EB0">
        <w:rPr>
          <w:lang w:eastAsia="x-none"/>
        </w:rPr>
        <w:t xml:space="preserve"> </w:t>
      </w:r>
      <w:r w:rsidR="0047282C">
        <w:rPr>
          <w:lang w:eastAsia="x-none"/>
        </w:rPr>
        <w:t xml:space="preserve">Tím bude zajištěn </w:t>
      </w:r>
      <w:r w:rsidR="00607EB0">
        <w:rPr>
          <w:lang w:eastAsia="x-none"/>
        </w:rPr>
        <w:t>dostatečn</w:t>
      </w:r>
      <w:r w:rsidR="0047282C">
        <w:rPr>
          <w:lang w:eastAsia="x-none"/>
        </w:rPr>
        <w:t>ý</w:t>
      </w:r>
      <w:r w:rsidR="00607EB0">
        <w:rPr>
          <w:lang w:eastAsia="x-none"/>
        </w:rPr>
        <w:t xml:space="preserve"> poč</w:t>
      </w:r>
      <w:r w:rsidR="0047282C">
        <w:rPr>
          <w:lang w:eastAsia="x-none"/>
        </w:rPr>
        <w:t>e</w:t>
      </w:r>
      <w:r w:rsidR="00607EB0">
        <w:rPr>
          <w:lang w:eastAsia="x-none"/>
        </w:rPr>
        <w:t>t portů</w:t>
      </w:r>
      <w:r w:rsidR="0047282C">
        <w:rPr>
          <w:lang w:eastAsia="x-none"/>
        </w:rPr>
        <w:t xml:space="preserve"> pro nasazení i případný rozvoj </w:t>
      </w:r>
      <w:proofErr w:type="spellStart"/>
      <w:r w:rsidR="0047282C">
        <w:rPr>
          <w:lang w:eastAsia="x-none"/>
        </w:rPr>
        <w:t>virtualizačního</w:t>
      </w:r>
      <w:proofErr w:type="spellEnd"/>
      <w:r w:rsidR="0047282C">
        <w:rPr>
          <w:lang w:eastAsia="x-none"/>
        </w:rPr>
        <w:t xml:space="preserve"> prostředí ve střednědobém výhledu, po dobu životnosti nového řešení</w:t>
      </w:r>
      <w:r>
        <w:rPr>
          <w:lang w:val="x-none" w:eastAsia="x-none"/>
        </w:rPr>
        <w:t>.</w:t>
      </w:r>
      <w:r w:rsidR="00607EB0">
        <w:rPr>
          <w:lang w:eastAsia="x-none"/>
        </w:rPr>
        <w:t xml:space="preserve"> </w:t>
      </w:r>
      <w:proofErr w:type="spellStart"/>
      <w:r>
        <w:rPr>
          <w:lang w:val="x-none" w:eastAsia="x-none"/>
        </w:rPr>
        <w:t>Switche</w:t>
      </w:r>
      <w:proofErr w:type="spellEnd"/>
      <w:r>
        <w:rPr>
          <w:lang w:val="x-none" w:eastAsia="x-none"/>
        </w:rPr>
        <w:t xml:space="preserve"> budou umístěny po dvou na každé lokalitě.</w:t>
      </w:r>
    </w:p>
    <w:p w:rsidR="00607EB0" w:rsidRDefault="00607EB0" w:rsidP="002409BE">
      <w:pPr>
        <w:rPr>
          <w:lang w:eastAsia="x-none"/>
        </w:rPr>
      </w:pPr>
      <w:r>
        <w:rPr>
          <w:lang w:eastAsia="x-none"/>
        </w:rPr>
        <w:tab/>
      </w:r>
    </w:p>
    <w:p w:rsidR="00607EB0" w:rsidRPr="00607EB0" w:rsidRDefault="00607EB0" w:rsidP="00607EB0">
      <w:pPr>
        <w:ind w:firstLine="568"/>
        <w:rPr>
          <w:lang w:eastAsia="x-none"/>
        </w:rPr>
      </w:pPr>
      <w:r>
        <w:rPr>
          <w:lang w:eastAsia="x-none"/>
        </w:rPr>
        <w:t>Hodláme využít výhod takového řešení</w:t>
      </w:r>
      <w:r w:rsidR="004D1E9F">
        <w:rPr>
          <w:lang w:eastAsia="x-none"/>
        </w:rPr>
        <w:t xml:space="preserve"> i z pohledu p</w:t>
      </w:r>
      <w:r>
        <w:rPr>
          <w:lang w:eastAsia="x-none"/>
        </w:rPr>
        <w:t>ožadavk</w:t>
      </w:r>
      <w:r w:rsidR="0047282C">
        <w:rPr>
          <w:lang w:eastAsia="x-none"/>
        </w:rPr>
        <w:t>u</w:t>
      </w:r>
      <w:r>
        <w:rPr>
          <w:lang w:eastAsia="x-none"/>
        </w:rPr>
        <w:t xml:space="preserve"> na bezpečnost</w:t>
      </w:r>
      <w:r w:rsidR="004D1E9F">
        <w:rPr>
          <w:lang w:eastAsia="x-none"/>
        </w:rPr>
        <w:t xml:space="preserve"> a</w:t>
      </w:r>
      <w:r>
        <w:rPr>
          <w:lang w:eastAsia="x-none"/>
        </w:rPr>
        <w:t xml:space="preserve"> DR</w:t>
      </w:r>
      <w:r w:rsidR="004D1E9F">
        <w:rPr>
          <w:lang w:eastAsia="x-none"/>
        </w:rPr>
        <w:t xml:space="preserve"> scénáře. Kde plánujeme využit kombinaci provozních </w:t>
      </w:r>
      <w:proofErr w:type="spellStart"/>
      <w:r w:rsidR="004D1E9F">
        <w:rPr>
          <w:lang w:eastAsia="x-none"/>
        </w:rPr>
        <w:t>snapshotů</w:t>
      </w:r>
      <w:proofErr w:type="spellEnd"/>
      <w:r w:rsidR="004D1E9F">
        <w:rPr>
          <w:lang w:eastAsia="x-none"/>
        </w:rPr>
        <w:t xml:space="preserve"> a jejich bezpečnostního nastavení tak, aby případné reakce </w:t>
      </w:r>
      <w:r w:rsidR="0047282C">
        <w:rPr>
          <w:lang w:eastAsia="x-none"/>
        </w:rPr>
        <w:t xml:space="preserve">na DR události </w:t>
      </w:r>
      <w:r w:rsidR="004D1E9F">
        <w:rPr>
          <w:lang w:eastAsia="x-none"/>
        </w:rPr>
        <w:t xml:space="preserve">umožnily rychlou obnovu provozu v plném výkonu a s minimální ztrátou dat. Stejně jako </w:t>
      </w:r>
      <w:r w:rsidR="0047282C">
        <w:rPr>
          <w:lang w:eastAsia="x-none"/>
        </w:rPr>
        <w:t xml:space="preserve">využít možnosti a </w:t>
      </w:r>
      <w:r w:rsidR="004D1E9F">
        <w:rPr>
          <w:lang w:eastAsia="x-none"/>
        </w:rPr>
        <w:t xml:space="preserve">provázat se zálohovacím řešením s podporovaným </w:t>
      </w:r>
      <w:proofErr w:type="spellStart"/>
      <w:r w:rsidR="004D1E9F">
        <w:rPr>
          <w:lang w:eastAsia="x-none"/>
        </w:rPr>
        <w:t>Backup</w:t>
      </w:r>
      <w:proofErr w:type="spellEnd"/>
      <w:r w:rsidR="004D1E9F">
        <w:rPr>
          <w:lang w:eastAsia="x-none"/>
        </w:rPr>
        <w:t xml:space="preserve"> SW. </w:t>
      </w:r>
      <w:r w:rsidR="0047282C">
        <w:rPr>
          <w:lang w:eastAsia="x-none"/>
        </w:rPr>
        <w:t>Požadujeme, abychom měli v cílovém stavu</w:t>
      </w:r>
      <w:r w:rsidR="004D1E9F">
        <w:rPr>
          <w:lang w:eastAsia="x-none"/>
        </w:rPr>
        <w:t xml:space="preserve"> dostatečně oddělen</w:t>
      </w:r>
      <w:r w:rsidR="0047282C">
        <w:rPr>
          <w:lang w:eastAsia="x-none"/>
        </w:rPr>
        <w:t xml:space="preserve">o </w:t>
      </w:r>
      <w:proofErr w:type="spellStart"/>
      <w:r w:rsidR="0047282C">
        <w:rPr>
          <w:lang w:eastAsia="x-none"/>
        </w:rPr>
        <w:t>Backup</w:t>
      </w:r>
      <w:proofErr w:type="spellEnd"/>
      <w:r w:rsidR="0047282C">
        <w:rPr>
          <w:lang w:eastAsia="x-none"/>
        </w:rPr>
        <w:t xml:space="preserve"> a </w:t>
      </w:r>
      <w:proofErr w:type="spellStart"/>
      <w:r w:rsidR="0047282C">
        <w:rPr>
          <w:lang w:eastAsia="x-none"/>
        </w:rPr>
        <w:t>restore</w:t>
      </w:r>
      <w:proofErr w:type="spellEnd"/>
      <w:r w:rsidR="0047282C">
        <w:rPr>
          <w:lang w:eastAsia="x-none"/>
        </w:rPr>
        <w:t xml:space="preserve"> prostředí</w:t>
      </w:r>
      <w:r w:rsidR="004D1E9F">
        <w:rPr>
          <w:lang w:eastAsia="x-none"/>
        </w:rPr>
        <w:t xml:space="preserve"> od produkčního na všech vrstvách </w:t>
      </w:r>
      <w:proofErr w:type="spellStart"/>
      <w:r w:rsidR="004D1E9F">
        <w:rPr>
          <w:lang w:eastAsia="x-none"/>
        </w:rPr>
        <w:t>Storage</w:t>
      </w:r>
      <w:proofErr w:type="spellEnd"/>
      <w:r w:rsidR="004D1E9F">
        <w:rPr>
          <w:lang w:eastAsia="x-none"/>
        </w:rPr>
        <w:t xml:space="preserve">, komunikace a přístupu. Navržený systém Metro Cluster IP musí takové nasazení a konfiguraci umožňovat bez </w:t>
      </w:r>
      <w:r w:rsidR="0047282C">
        <w:rPr>
          <w:lang w:eastAsia="x-none"/>
        </w:rPr>
        <w:t xml:space="preserve">významného </w:t>
      </w:r>
      <w:r w:rsidR="004D1E9F">
        <w:rPr>
          <w:lang w:eastAsia="x-none"/>
        </w:rPr>
        <w:t xml:space="preserve">omezení výkonu přístupu k provozním datům. </w:t>
      </w:r>
    </w:p>
    <w:p w:rsidR="002409BE" w:rsidRDefault="002409BE" w:rsidP="002409BE">
      <w:pPr>
        <w:pStyle w:val="Nadpis3"/>
      </w:pPr>
      <w:bookmarkStart w:id="8" w:name="_Toc185336400"/>
      <w:r>
        <w:t>Popis požadovaného řešení</w:t>
      </w:r>
      <w:bookmarkEnd w:id="8"/>
    </w:p>
    <w:p w:rsidR="00A478C4" w:rsidRDefault="00A478C4" w:rsidP="00A478C4">
      <w:pPr>
        <w:rPr>
          <w:lang w:val="x-none" w:eastAsia="x-none"/>
        </w:rPr>
      </w:pPr>
    </w:p>
    <w:p w:rsidR="00A478C4" w:rsidRDefault="00607EB0" w:rsidP="00A478C4">
      <w:pPr>
        <w:rPr>
          <w:lang w:val="x-none" w:eastAsia="x-none"/>
        </w:rPr>
      </w:pPr>
      <w:r>
        <w:rPr>
          <w:lang w:eastAsia="x-none"/>
        </w:rPr>
        <w:t>Výsledné je</w:t>
      </w:r>
      <w:r w:rsidR="00996FCA">
        <w:rPr>
          <w:lang w:val="x-none" w:eastAsia="x-none"/>
        </w:rPr>
        <w:t xml:space="preserve"> požadováno od uchazeče jako součást nabídky.</w:t>
      </w:r>
    </w:p>
    <w:p w:rsidR="00607EB0" w:rsidRDefault="00607EB0" w:rsidP="00A478C4">
      <w:pPr>
        <w:rPr>
          <w:lang w:val="x-none" w:eastAsia="x-none"/>
        </w:rPr>
      </w:pPr>
    </w:p>
    <w:p w:rsidR="009D7B5D" w:rsidRDefault="00044A68" w:rsidP="00044A68">
      <w:pPr>
        <w:ind w:firstLine="568"/>
        <w:rPr>
          <w:lang w:eastAsia="x-none"/>
        </w:rPr>
      </w:pPr>
      <w:r>
        <w:rPr>
          <w:lang w:eastAsia="x-none"/>
        </w:rPr>
        <w:t xml:space="preserve">Předpokládáme nabídku řešení Metro Cluster IP v konfiguraci dvou oddělených lokalit. Lokality jsou propojeny </w:t>
      </w:r>
      <w:proofErr w:type="spellStart"/>
      <w:r>
        <w:rPr>
          <w:lang w:eastAsia="x-none"/>
        </w:rPr>
        <w:t>vícevláknovým</w:t>
      </w:r>
      <w:proofErr w:type="spellEnd"/>
      <w:r>
        <w:rPr>
          <w:lang w:eastAsia="x-none"/>
        </w:rPr>
        <w:t xml:space="preserve"> optickým kabelem single mode s délkou několika stovek metrů. V zadávacích podmínkách je poptávána dostatečná / potřebná datová kapacita</w:t>
      </w:r>
      <w:r w:rsidR="009D7B5D">
        <w:rPr>
          <w:lang w:eastAsia="x-none"/>
        </w:rPr>
        <w:t xml:space="preserve">. Tato bude využívána pro prostředí virtuálních serverů, které budou toto úložiště využívat. </w:t>
      </w:r>
    </w:p>
    <w:p w:rsidR="009D7B5D" w:rsidRDefault="009D7B5D" w:rsidP="00044A68">
      <w:pPr>
        <w:ind w:firstLine="568"/>
        <w:rPr>
          <w:lang w:eastAsia="x-none"/>
        </w:rPr>
      </w:pPr>
    </w:p>
    <w:p w:rsidR="009D7B5D" w:rsidRDefault="009D7B5D" w:rsidP="00044A68">
      <w:pPr>
        <w:ind w:firstLine="568"/>
        <w:rPr>
          <w:lang w:eastAsia="x-none"/>
        </w:rPr>
      </w:pPr>
      <w:r>
        <w:rPr>
          <w:lang w:eastAsia="x-none"/>
        </w:rPr>
        <w:t>Předpokládáme konfiguraci uvedenou v na obrázku:</w:t>
      </w:r>
    </w:p>
    <w:p w:rsidR="009D7B5D" w:rsidRDefault="009D7B5D" w:rsidP="009D7B5D">
      <w:pPr>
        <w:rPr>
          <w:lang w:eastAsia="x-none"/>
        </w:rPr>
      </w:pPr>
    </w:p>
    <w:p w:rsidR="009D7B5D" w:rsidRDefault="001420A3" w:rsidP="00E00ECC">
      <w:pPr>
        <w:rPr>
          <w:lang w:eastAsia="x-none"/>
        </w:rPr>
      </w:pPr>
      <w:r w:rsidRPr="00E10E31">
        <w:rPr>
          <w:noProof/>
        </w:rPr>
        <w:drawing>
          <wp:inline distT="0" distB="0" distL="0" distR="0">
            <wp:extent cx="5760720" cy="2712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5D" w:rsidRDefault="009D7B5D" w:rsidP="009D7B5D">
      <w:pPr>
        <w:rPr>
          <w:lang w:eastAsia="x-none"/>
        </w:rPr>
      </w:pPr>
    </w:p>
    <w:p w:rsidR="009D7B5D" w:rsidRDefault="009D7B5D" w:rsidP="009D7B5D">
      <w:pPr>
        <w:rPr>
          <w:lang w:eastAsia="x-none"/>
        </w:rPr>
      </w:pPr>
    </w:p>
    <w:p w:rsidR="009D7B5D" w:rsidRDefault="009D7B5D" w:rsidP="009D7B5D">
      <w:pPr>
        <w:rPr>
          <w:lang w:eastAsia="x-none"/>
        </w:rPr>
      </w:pPr>
      <w:r>
        <w:rPr>
          <w:lang w:eastAsia="x-none"/>
        </w:rPr>
        <w:t xml:space="preserve">Obrázek schematicky obsahuje prostředí front end sítě pro servery hostované serverové infrastruktury na technologii </w:t>
      </w:r>
      <w:proofErr w:type="spellStart"/>
      <w:r>
        <w:rPr>
          <w:lang w:eastAsia="x-none"/>
        </w:rPr>
        <w:t>VMware</w:t>
      </w:r>
      <w:proofErr w:type="spellEnd"/>
      <w:r>
        <w:rPr>
          <w:lang w:eastAsia="x-none"/>
        </w:rPr>
        <w:t xml:space="preserve">. A </w:t>
      </w:r>
      <w:proofErr w:type="spellStart"/>
      <w:r>
        <w:rPr>
          <w:lang w:eastAsia="x-none"/>
        </w:rPr>
        <w:t>Back</w:t>
      </w:r>
      <w:proofErr w:type="spellEnd"/>
      <w:r>
        <w:rPr>
          <w:lang w:eastAsia="x-none"/>
        </w:rPr>
        <w:t xml:space="preserve"> end síťové prostředí pro </w:t>
      </w:r>
      <w:proofErr w:type="spellStart"/>
      <w:r>
        <w:rPr>
          <w:lang w:eastAsia="x-none"/>
        </w:rPr>
        <w:t>Stroage</w:t>
      </w:r>
      <w:proofErr w:type="spellEnd"/>
      <w:r>
        <w:rPr>
          <w:lang w:eastAsia="x-none"/>
        </w:rPr>
        <w:t xml:space="preserve"> prostředí. </w:t>
      </w:r>
    </w:p>
    <w:p w:rsidR="009D7B5D" w:rsidRDefault="009D7B5D" w:rsidP="009D7B5D">
      <w:pPr>
        <w:rPr>
          <w:lang w:eastAsia="x-none"/>
        </w:rPr>
      </w:pPr>
      <w:proofErr w:type="spellStart"/>
      <w:r>
        <w:rPr>
          <w:lang w:eastAsia="x-none"/>
        </w:rPr>
        <w:t>MetroCluster</w:t>
      </w:r>
      <w:proofErr w:type="spellEnd"/>
      <w:r>
        <w:rPr>
          <w:lang w:eastAsia="x-none"/>
        </w:rPr>
        <w:t xml:space="preserve"> </w:t>
      </w:r>
      <w:r w:rsidR="00C46DF4">
        <w:rPr>
          <w:lang w:eastAsia="x-none"/>
        </w:rPr>
        <w:t>architektura obsahuje:</w:t>
      </w:r>
    </w:p>
    <w:p w:rsidR="00C46DF4" w:rsidRDefault="00C46DF4" w:rsidP="00C46DF4">
      <w:pPr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t xml:space="preserve">Dvojici </w:t>
      </w:r>
      <w:proofErr w:type="spellStart"/>
      <w:r>
        <w:rPr>
          <w:lang w:eastAsia="x-none"/>
        </w:rPr>
        <w:t>kontrolerů</w:t>
      </w:r>
      <w:proofErr w:type="spellEnd"/>
      <w:r>
        <w:rPr>
          <w:lang w:eastAsia="x-none"/>
        </w:rPr>
        <w:t xml:space="preserve"> jako jeden HA pár na jedné </w:t>
      </w:r>
      <w:r w:rsidR="00D542F9">
        <w:rPr>
          <w:lang w:eastAsia="x-none"/>
        </w:rPr>
        <w:t>l</w:t>
      </w:r>
      <w:r>
        <w:rPr>
          <w:lang w:eastAsia="x-none"/>
        </w:rPr>
        <w:t>okalitě</w:t>
      </w:r>
    </w:p>
    <w:p w:rsidR="00C46DF4" w:rsidRDefault="00C46DF4" w:rsidP="00C46DF4">
      <w:pPr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t xml:space="preserve">Dva vysokorychlostní </w:t>
      </w:r>
      <w:proofErr w:type="spellStart"/>
      <w:r>
        <w:rPr>
          <w:lang w:eastAsia="x-none"/>
        </w:rPr>
        <w:t>switche</w:t>
      </w:r>
      <w:proofErr w:type="spellEnd"/>
      <w:r>
        <w:rPr>
          <w:lang w:eastAsia="x-none"/>
        </w:rPr>
        <w:t xml:space="preserve"> na jedné lok</w:t>
      </w:r>
      <w:r w:rsidR="00D542F9">
        <w:rPr>
          <w:lang w:eastAsia="x-none"/>
        </w:rPr>
        <w:t>al</w:t>
      </w:r>
      <w:r>
        <w:rPr>
          <w:lang w:eastAsia="x-none"/>
        </w:rPr>
        <w:t>itě</w:t>
      </w:r>
    </w:p>
    <w:p w:rsidR="00C46DF4" w:rsidRDefault="00C46DF4" w:rsidP="00C46DF4">
      <w:pPr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t>Diskové police pro dostatečný počet disků pro osazení po</w:t>
      </w:r>
      <w:r w:rsidR="00D542F9">
        <w:rPr>
          <w:lang w:eastAsia="x-none"/>
        </w:rPr>
        <w:t>ž</w:t>
      </w:r>
      <w:r>
        <w:rPr>
          <w:lang w:eastAsia="x-none"/>
        </w:rPr>
        <w:t>adovanou kapacitou</w:t>
      </w:r>
    </w:p>
    <w:p w:rsidR="00E00ECC" w:rsidRDefault="00C46DF4" w:rsidP="00C46DF4">
      <w:pPr>
        <w:rPr>
          <w:lang w:eastAsia="x-none"/>
        </w:rPr>
      </w:pPr>
      <w:r>
        <w:rPr>
          <w:lang w:eastAsia="x-none"/>
        </w:rPr>
        <w:t>Pro zajištění nezávislého monitoringu obou systémů lze uvažovat řešení s </w:t>
      </w:r>
      <w:proofErr w:type="spellStart"/>
      <w:r>
        <w:rPr>
          <w:lang w:eastAsia="x-none"/>
        </w:rPr>
        <w:t>witness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Tiebreaker</w:t>
      </w:r>
      <w:proofErr w:type="spellEnd"/>
      <w:r>
        <w:rPr>
          <w:lang w:eastAsia="x-none"/>
        </w:rPr>
        <w:t xml:space="preserve"> serverem. Ten </w:t>
      </w:r>
      <w:r w:rsidR="00E00ECC">
        <w:rPr>
          <w:lang w:eastAsia="x-none"/>
        </w:rPr>
        <w:t xml:space="preserve">je začleněn do celého řešení scénářů výpadku nodu nebo komunikace nebo její čísti tak, aby byl v maximální možné míře vyloučena situace split provozu obou </w:t>
      </w:r>
      <w:proofErr w:type="spellStart"/>
      <w:r w:rsidR="00E00ECC">
        <w:rPr>
          <w:lang w:eastAsia="x-none"/>
        </w:rPr>
        <w:t>site</w:t>
      </w:r>
      <w:proofErr w:type="spellEnd"/>
      <w:r w:rsidR="00E00ECC">
        <w:rPr>
          <w:lang w:eastAsia="x-none"/>
        </w:rPr>
        <w:t>. Takové řešení schematicky zobrazuje obrázek.</w:t>
      </w:r>
    </w:p>
    <w:p w:rsidR="00E00ECC" w:rsidRDefault="00E00ECC" w:rsidP="00C46DF4">
      <w:pPr>
        <w:rPr>
          <w:lang w:eastAsia="x-none"/>
        </w:rPr>
      </w:pPr>
    </w:p>
    <w:p w:rsidR="00E00ECC" w:rsidRDefault="00E00ECC" w:rsidP="00C46DF4">
      <w:pPr>
        <w:rPr>
          <w:lang w:eastAsia="x-none"/>
        </w:rPr>
      </w:pPr>
    </w:p>
    <w:p w:rsidR="00E00ECC" w:rsidRDefault="001420A3" w:rsidP="00E00ECC">
      <w:pPr>
        <w:jc w:val="center"/>
        <w:rPr>
          <w:lang w:eastAsia="x-none"/>
        </w:rPr>
      </w:pPr>
      <w:r w:rsidRPr="00E10E31">
        <w:rPr>
          <w:noProof/>
        </w:rPr>
        <w:lastRenderedPageBreak/>
        <w:drawing>
          <wp:inline distT="0" distB="0" distL="0" distR="0">
            <wp:extent cx="3817620" cy="2545080"/>
            <wp:effectExtent l="0" t="0" r="0" b="762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DF4" w:rsidRPr="00044A68" w:rsidRDefault="00C46DF4" w:rsidP="00C46DF4">
      <w:pPr>
        <w:rPr>
          <w:lang w:eastAsia="x-none"/>
        </w:rPr>
      </w:pPr>
      <w:r>
        <w:rPr>
          <w:lang w:eastAsia="x-none"/>
        </w:rPr>
        <w:t xml:space="preserve"> </w:t>
      </w:r>
    </w:p>
    <w:p w:rsidR="002409BE" w:rsidRDefault="002409BE" w:rsidP="002409BE">
      <w:pPr>
        <w:pStyle w:val="Nadpis3"/>
      </w:pPr>
      <w:bookmarkStart w:id="9" w:name="_Toc185336401"/>
      <w:r>
        <w:t>Technická část – zadání</w:t>
      </w:r>
      <w:bookmarkEnd w:id="9"/>
    </w:p>
    <w:p w:rsidR="002409BE" w:rsidRDefault="002409BE" w:rsidP="002409BE">
      <w:pPr>
        <w:rPr>
          <w:lang w:val="x-none" w:eastAsia="x-none"/>
        </w:rPr>
      </w:pPr>
    </w:p>
    <w:p w:rsidR="005725AA" w:rsidRDefault="005725AA" w:rsidP="005725AA">
      <w:pPr>
        <w:rPr>
          <w:lang w:val="x-none" w:eastAsia="x-none"/>
        </w:rPr>
      </w:pPr>
      <w:r>
        <w:rPr>
          <w:lang w:val="x-none" w:eastAsia="x-none"/>
        </w:rPr>
        <w:t>Parametry jsou uvedeny v souboru XLS záložce VŘ Město Břeclav</w:t>
      </w:r>
    </w:p>
    <w:p w:rsidR="002409BE" w:rsidRP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2"/>
      </w:pPr>
      <w:bookmarkStart w:id="10" w:name="_Toc185336402"/>
      <w:r>
        <w:t>Servery</w:t>
      </w:r>
      <w:bookmarkEnd w:id="10"/>
    </w:p>
    <w:p w:rsid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11" w:name="_Toc185336403"/>
      <w:r>
        <w:t>Shrnutí aktuálního stavu</w:t>
      </w:r>
      <w:bookmarkEnd w:id="11"/>
    </w:p>
    <w:p w:rsidR="002409BE" w:rsidRDefault="002409BE" w:rsidP="002409BE">
      <w:pPr>
        <w:rPr>
          <w:lang w:val="x-none" w:eastAsia="x-none"/>
        </w:rPr>
      </w:pPr>
    </w:p>
    <w:p w:rsidR="000D5BAC" w:rsidRDefault="00F8235F" w:rsidP="00F8235F">
      <w:pPr>
        <w:ind w:firstLine="568"/>
        <w:rPr>
          <w:lang w:val="x-none" w:eastAsia="x-none"/>
        </w:rPr>
      </w:pPr>
      <w:r>
        <w:rPr>
          <w:lang w:val="x-none" w:eastAsia="x-none"/>
        </w:rPr>
        <w:t>V současnosti je Městem provozováno deset serverů různého stáří a technické úrovně. Pět serverů je využito pro prostředí virtuálních serverů. Těch je provozováno přes 160. Tři servery jsou využity pro potřeby Městské policie</w:t>
      </w:r>
      <w:r w:rsidR="000D5BAC">
        <w:rPr>
          <w:lang w:val="x-none" w:eastAsia="x-none"/>
        </w:rPr>
        <w:t>. Ty slouží pro ukládání kamerových záznamů a práci s</w:t>
      </w:r>
      <w:r>
        <w:rPr>
          <w:lang w:val="x-none" w:eastAsia="x-none"/>
        </w:rPr>
        <w:t xml:space="preserve"> </w:t>
      </w:r>
      <w:r w:rsidR="000D5BAC">
        <w:rPr>
          <w:lang w:val="x-none" w:eastAsia="x-none"/>
        </w:rPr>
        <w:t>nimi</w:t>
      </w:r>
      <w:r>
        <w:rPr>
          <w:lang w:val="x-none" w:eastAsia="x-none"/>
        </w:rPr>
        <w:t xml:space="preserve">. </w:t>
      </w:r>
      <w:r w:rsidR="000D5BAC">
        <w:rPr>
          <w:lang w:val="x-none" w:eastAsia="x-none"/>
        </w:rPr>
        <w:t xml:space="preserve">Jeden z nich je vyčleněn </w:t>
      </w:r>
      <w:r>
        <w:rPr>
          <w:lang w:val="x-none" w:eastAsia="x-none"/>
        </w:rPr>
        <w:t xml:space="preserve">pro aplikaci </w:t>
      </w:r>
      <w:proofErr w:type="spellStart"/>
      <w:r>
        <w:rPr>
          <w:lang w:val="x-none" w:eastAsia="x-none"/>
        </w:rPr>
        <w:t>TagBust</w:t>
      </w:r>
      <w:proofErr w:type="spellEnd"/>
      <w:r w:rsidR="000D5BAC">
        <w:rPr>
          <w:lang w:val="x-none" w:eastAsia="x-none"/>
        </w:rPr>
        <w:t xml:space="preserve">. </w:t>
      </w:r>
    </w:p>
    <w:p w:rsidR="00F8235F" w:rsidRDefault="000F725B" w:rsidP="00F8235F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Jeden ze serverů je vyčleněn pro zálohování </w:t>
      </w:r>
      <w:r w:rsidR="000D5BAC">
        <w:rPr>
          <w:lang w:val="x-none" w:eastAsia="x-none"/>
        </w:rPr>
        <w:t>produkčního prostřed</w:t>
      </w:r>
      <w:r>
        <w:rPr>
          <w:lang w:val="x-none" w:eastAsia="x-none"/>
        </w:rPr>
        <w:t>í</w:t>
      </w:r>
      <w:r w:rsidR="000D5BAC">
        <w:rPr>
          <w:lang w:val="x-none" w:eastAsia="x-none"/>
        </w:rPr>
        <w:t>.</w:t>
      </w:r>
    </w:p>
    <w:p w:rsidR="00F8235F" w:rsidRDefault="00F8235F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12" w:name="_Toc185336404"/>
      <w:r>
        <w:t>Popis požadovaného řešení</w:t>
      </w:r>
      <w:bookmarkEnd w:id="12"/>
    </w:p>
    <w:p w:rsidR="002409BE" w:rsidRDefault="002409BE" w:rsidP="002409BE">
      <w:pPr>
        <w:rPr>
          <w:lang w:val="x-none" w:eastAsia="x-none"/>
        </w:rPr>
      </w:pPr>
    </w:p>
    <w:p w:rsidR="000F725B" w:rsidRDefault="00F8235F" w:rsidP="00437922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Z konzultace stavu a potřeb </w:t>
      </w:r>
      <w:r w:rsidR="000F725B">
        <w:rPr>
          <w:lang w:val="x-none" w:eastAsia="x-none"/>
        </w:rPr>
        <w:t xml:space="preserve">zajištění systémového prostředí </w:t>
      </w:r>
      <w:r>
        <w:rPr>
          <w:lang w:val="x-none" w:eastAsia="x-none"/>
        </w:rPr>
        <w:t xml:space="preserve">spolu se strategickým výhledem dalšího rozvoje a inovací informačních technologií s oddělení IT Města Břeclav byla vybrána varianta výměny tří nejstarších serverů pro </w:t>
      </w:r>
      <w:proofErr w:type="spellStart"/>
      <w:r>
        <w:rPr>
          <w:lang w:val="x-none" w:eastAsia="x-none"/>
        </w:rPr>
        <w:t>virtualizaci</w:t>
      </w:r>
      <w:proofErr w:type="spellEnd"/>
      <w:r>
        <w:rPr>
          <w:lang w:val="x-none" w:eastAsia="x-none"/>
        </w:rPr>
        <w:t xml:space="preserve"> za nové. </w:t>
      </w:r>
      <w:r w:rsidR="000F725B">
        <w:rPr>
          <w:lang w:val="x-none" w:eastAsia="x-none"/>
        </w:rPr>
        <w:t xml:space="preserve">Rozhodnutí je plně v souladu se závěry Studie proveditelnosti projektu “Rozvoj služeb </w:t>
      </w:r>
      <w:proofErr w:type="spellStart"/>
      <w:r w:rsidR="000F725B">
        <w:rPr>
          <w:lang w:val="x-none" w:eastAsia="x-none"/>
        </w:rPr>
        <w:t>egovernmentu</w:t>
      </w:r>
      <w:proofErr w:type="spellEnd"/>
      <w:r w:rsidR="000F725B">
        <w:rPr>
          <w:lang w:val="x-none" w:eastAsia="x-none"/>
        </w:rPr>
        <w:t xml:space="preserve"> Města Břeclav a jeho příspěvkových organizací (“ORPB”).</w:t>
      </w:r>
    </w:p>
    <w:p w:rsidR="00F8235F" w:rsidRDefault="000F725B" w:rsidP="00437922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Cílem </w:t>
      </w:r>
      <w:r w:rsidR="007E3311">
        <w:rPr>
          <w:lang w:val="x-none" w:eastAsia="x-none"/>
        </w:rPr>
        <w:t xml:space="preserve">technologického </w:t>
      </w:r>
      <w:r>
        <w:rPr>
          <w:lang w:val="x-none" w:eastAsia="x-none"/>
        </w:rPr>
        <w:t xml:space="preserve">designu byly potřeby </w:t>
      </w:r>
      <w:r w:rsidR="007E3311">
        <w:rPr>
          <w:lang w:val="x-none" w:eastAsia="x-none"/>
        </w:rPr>
        <w:t>p</w:t>
      </w:r>
      <w:r w:rsidR="00F8235F">
        <w:rPr>
          <w:lang w:val="x-none" w:eastAsia="x-none"/>
        </w:rPr>
        <w:t xml:space="preserve">ro zajištění </w:t>
      </w:r>
      <w:r w:rsidR="007E3311">
        <w:rPr>
          <w:lang w:val="x-none" w:eastAsia="x-none"/>
        </w:rPr>
        <w:t>provozu s parametrem vysoké dostupnosti. Dostatečným výkonem. S ohledem na správu a provoz pros</w:t>
      </w:r>
      <w:r w:rsidR="00D542F9">
        <w:rPr>
          <w:lang w:eastAsia="x-none"/>
        </w:rPr>
        <w:t>t</w:t>
      </w:r>
      <w:r w:rsidR="007E3311">
        <w:rPr>
          <w:lang w:val="x-none" w:eastAsia="x-none"/>
        </w:rPr>
        <w:t xml:space="preserve">ředí </w:t>
      </w:r>
      <w:r w:rsidR="00F8235F">
        <w:rPr>
          <w:lang w:val="x-none" w:eastAsia="x-none"/>
        </w:rPr>
        <w:t>v následujících 5 až 7 letech</w:t>
      </w:r>
      <w:r w:rsidR="007E3311">
        <w:rPr>
          <w:lang w:val="x-none" w:eastAsia="x-none"/>
        </w:rPr>
        <w:t>.</w:t>
      </w:r>
      <w:r w:rsidR="00F8235F">
        <w:rPr>
          <w:lang w:val="x-none" w:eastAsia="x-none"/>
        </w:rPr>
        <w:t xml:space="preserve"> </w:t>
      </w:r>
      <w:r w:rsidR="007E3311">
        <w:rPr>
          <w:lang w:val="x-none" w:eastAsia="x-none"/>
        </w:rPr>
        <w:t>Hlavními požadavky byly následující parametry</w:t>
      </w:r>
      <w:r w:rsidR="00F8235F">
        <w:rPr>
          <w:lang w:val="x-none" w:eastAsia="x-none"/>
        </w:rPr>
        <w:t>:</w:t>
      </w:r>
    </w:p>
    <w:p w:rsidR="00F8235F" w:rsidRDefault="00F8235F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Podpora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vSphere</w:t>
      </w:r>
      <w:proofErr w:type="spellEnd"/>
    </w:p>
    <w:p w:rsidR="00F8235F" w:rsidRDefault="007E3311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Provoz virtuálních serverů zajistit v</w:t>
      </w:r>
      <w:r w:rsidR="00F8235F">
        <w:rPr>
          <w:lang w:val="x-none" w:eastAsia="x-none"/>
        </w:rPr>
        <w:t>yšší</w:t>
      </w:r>
      <w:r>
        <w:rPr>
          <w:lang w:val="x-none" w:eastAsia="x-none"/>
        </w:rPr>
        <w:t>m</w:t>
      </w:r>
      <w:r w:rsidR="00F8235F">
        <w:rPr>
          <w:lang w:val="x-none" w:eastAsia="x-none"/>
        </w:rPr>
        <w:t xml:space="preserve"> poč</w:t>
      </w:r>
      <w:r>
        <w:rPr>
          <w:lang w:val="x-none" w:eastAsia="x-none"/>
        </w:rPr>
        <w:t>tem</w:t>
      </w:r>
      <w:r w:rsidR="00F8235F">
        <w:rPr>
          <w:lang w:val="x-none" w:eastAsia="x-none"/>
        </w:rPr>
        <w:t xml:space="preserve"> jader na jedno CPU</w:t>
      </w:r>
    </w:p>
    <w:p w:rsidR="00437922" w:rsidRDefault="00437922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Optimalizace počtu jader s ohledem na licencování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a Microsoft.</w:t>
      </w:r>
    </w:p>
    <w:p w:rsidR="00437922" w:rsidRDefault="00F8235F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Výběr procesoru </w:t>
      </w:r>
      <w:r w:rsidR="007E3311">
        <w:rPr>
          <w:lang w:val="x-none" w:eastAsia="x-none"/>
        </w:rPr>
        <w:t>s</w:t>
      </w:r>
      <w:r>
        <w:rPr>
          <w:lang w:val="x-none" w:eastAsia="x-none"/>
        </w:rPr>
        <w:t xml:space="preserve"> nadprůměrnými hodnoty </w:t>
      </w:r>
      <w:proofErr w:type="spellStart"/>
      <w:r>
        <w:rPr>
          <w:lang w:val="x-none" w:eastAsia="x-none"/>
        </w:rPr>
        <w:t>benchmark</w:t>
      </w:r>
      <w:proofErr w:type="spellEnd"/>
      <w:r w:rsidR="00437922">
        <w:rPr>
          <w:lang w:val="x-none" w:eastAsia="x-none"/>
        </w:rPr>
        <w:t xml:space="preserve">. Alespoň 3200 bodů pro jedno jádro a přes </w:t>
      </w:r>
      <w:r w:rsidR="007E3311">
        <w:rPr>
          <w:lang w:val="x-none" w:eastAsia="x-none"/>
        </w:rPr>
        <w:t>50</w:t>
      </w:r>
      <w:r w:rsidR="00437922">
        <w:rPr>
          <w:lang w:val="x-none" w:eastAsia="x-none"/>
        </w:rPr>
        <w:t xml:space="preserve"> tisíc na celý procesor podle cpubenchmark.com</w:t>
      </w:r>
    </w:p>
    <w:p w:rsidR="00F8235F" w:rsidRDefault="00437922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Paměť alespoň 1TB s možností jejího navýšení v případě budoucí potřeby</w:t>
      </w:r>
      <w:r w:rsidR="00F8235F">
        <w:rPr>
          <w:lang w:val="x-none" w:eastAsia="x-none"/>
        </w:rPr>
        <w:t xml:space="preserve"> </w:t>
      </w:r>
    </w:p>
    <w:p w:rsidR="00437922" w:rsidRDefault="00437922" w:rsidP="00F8235F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Podpora 25Gb síťové komunikace. Korespondující s podporou nového SAN řešení</w:t>
      </w:r>
    </w:p>
    <w:p w:rsidR="00437922" w:rsidRDefault="00437922" w:rsidP="00437922">
      <w:pPr>
        <w:rPr>
          <w:lang w:val="x-none" w:eastAsia="x-none"/>
        </w:rPr>
      </w:pPr>
    </w:p>
    <w:p w:rsidR="00437922" w:rsidRPr="00C6273F" w:rsidRDefault="00C6273F" w:rsidP="00437922">
      <w:pPr>
        <w:ind w:firstLine="568"/>
        <w:rPr>
          <w:lang w:eastAsia="x-none"/>
        </w:rPr>
      </w:pPr>
      <w:r>
        <w:rPr>
          <w:lang w:eastAsia="x-none"/>
        </w:rPr>
        <w:lastRenderedPageBreak/>
        <w:t>P</w:t>
      </w:r>
      <w:proofErr w:type="spellStart"/>
      <w:r w:rsidR="00437922">
        <w:rPr>
          <w:lang w:val="x-none" w:eastAsia="x-none"/>
        </w:rPr>
        <w:t>ři</w:t>
      </w:r>
      <w:proofErr w:type="spellEnd"/>
      <w:r w:rsidR="00437922">
        <w:rPr>
          <w:lang w:val="x-none" w:eastAsia="x-none"/>
        </w:rPr>
        <w:t xml:space="preserve"> implementaci </w:t>
      </w:r>
      <w:r>
        <w:rPr>
          <w:lang w:eastAsia="x-none"/>
        </w:rPr>
        <w:t xml:space="preserve">bude </w:t>
      </w:r>
      <w:r w:rsidR="00437922">
        <w:rPr>
          <w:lang w:val="x-none" w:eastAsia="x-none"/>
        </w:rPr>
        <w:t>provedena odlišná konfigurace od současné. Tyto nové servery vytvoří samostatný cluster. Tím bude zajištěn provoz na instrukční sadě dodaných procesorů.</w:t>
      </w:r>
      <w:r>
        <w:rPr>
          <w:lang w:eastAsia="x-none"/>
        </w:rPr>
        <w:t xml:space="preserve"> Na </w:t>
      </w:r>
      <w:proofErr w:type="spellStart"/>
      <w:r>
        <w:rPr>
          <w:lang w:eastAsia="x-none"/>
        </w:rPr>
        <w:t>temto</w:t>
      </w:r>
      <w:proofErr w:type="spellEnd"/>
      <w:r>
        <w:rPr>
          <w:lang w:eastAsia="x-none"/>
        </w:rPr>
        <w:t xml:space="preserve"> clusteru bude vytvořeno systémové prostředí pro aplikace dodávané spolu s HW v rámci realizace celého projektu Rozvoje služeb </w:t>
      </w:r>
      <w:proofErr w:type="spellStart"/>
      <w:r>
        <w:rPr>
          <w:lang w:eastAsia="x-none"/>
        </w:rPr>
        <w:t>egovernmentu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měta</w:t>
      </w:r>
      <w:proofErr w:type="spellEnd"/>
      <w:r>
        <w:rPr>
          <w:lang w:eastAsia="x-none"/>
        </w:rPr>
        <w:t xml:space="preserve"> Břeclav.</w:t>
      </w:r>
    </w:p>
    <w:p w:rsidR="00437922" w:rsidRDefault="00C6273F" w:rsidP="00437922">
      <w:pPr>
        <w:ind w:firstLine="568"/>
        <w:rPr>
          <w:lang w:val="x-none" w:eastAsia="x-none"/>
        </w:rPr>
      </w:pPr>
      <w:r>
        <w:rPr>
          <w:lang w:eastAsia="x-none"/>
        </w:rPr>
        <w:t>Z pohledu koncepce bylo nutné provést kontrolu současného prostředí tak, aby byla zajištěna efektivita investice do nových HW prostředků. Proto</w:t>
      </w:r>
      <w:r w:rsidR="00437922">
        <w:rPr>
          <w:lang w:val="x-none" w:eastAsia="x-none"/>
        </w:rPr>
        <w:t xml:space="preserve"> </w:t>
      </w:r>
      <w:r w:rsidR="007E3311">
        <w:rPr>
          <w:lang w:val="x-none" w:eastAsia="x-none"/>
        </w:rPr>
        <w:t>jsem</w:t>
      </w:r>
      <w:r w:rsidR="00437922">
        <w:rPr>
          <w:lang w:val="x-none" w:eastAsia="x-none"/>
        </w:rPr>
        <w:t xml:space="preserve"> proved</w:t>
      </w:r>
      <w:r w:rsidR="007E3311">
        <w:rPr>
          <w:lang w:val="x-none" w:eastAsia="x-none"/>
        </w:rPr>
        <w:t>l</w:t>
      </w:r>
      <w:r w:rsidR="00437922">
        <w:rPr>
          <w:lang w:val="x-none" w:eastAsia="x-none"/>
        </w:rPr>
        <w:t xml:space="preserve"> kontrol</w:t>
      </w:r>
      <w:r w:rsidR="007E3311">
        <w:rPr>
          <w:lang w:val="x-none" w:eastAsia="x-none"/>
        </w:rPr>
        <w:t>u</w:t>
      </w:r>
      <w:r w:rsidR="00437922">
        <w:rPr>
          <w:lang w:val="x-none" w:eastAsia="x-none"/>
        </w:rPr>
        <w:t xml:space="preserve"> aktuálních potřeb prostředí virtuálních serverů (aplikačních) </w:t>
      </w:r>
      <w:r w:rsidR="007E57EE" w:rsidRPr="007E57EE">
        <w:rPr>
          <w:lang w:val="x-none" w:eastAsia="x-none"/>
        </w:rPr>
        <w:t>b</w:t>
      </w:r>
      <w:r w:rsidR="00437922" w:rsidRPr="007E57EE">
        <w:rPr>
          <w:lang w:val="x-none" w:eastAsia="x-none"/>
        </w:rPr>
        <w:t>ez</w:t>
      </w:r>
      <w:r w:rsidR="00437922">
        <w:rPr>
          <w:lang w:val="x-none" w:eastAsia="x-none"/>
        </w:rPr>
        <w:t xml:space="preserve"> video serverů, </w:t>
      </w:r>
      <w:proofErr w:type="spellStart"/>
      <w:r w:rsidR="00437922">
        <w:rPr>
          <w:lang w:val="x-none" w:eastAsia="x-none"/>
        </w:rPr>
        <w:t>backup</w:t>
      </w:r>
      <w:proofErr w:type="spellEnd"/>
      <w:r w:rsidR="00437922">
        <w:rPr>
          <w:lang w:val="x-none" w:eastAsia="x-none"/>
        </w:rPr>
        <w:t xml:space="preserve"> serveru a serveru pro </w:t>
      </w:r>
      <w:proofErr w:type="spellStart"/>
      <w:r w:rsidR="00437922">
        <w:rPr>
          <w:lang w:val="x-none" w:eastAsia="x-none"/>
        </w:rPr>
        <w:t>TagBust</w:t>
      </w:r>
      <w:proofErr w:type="spellEnd"/>
      <w:r w:rsidR="00437922">
        <w:rPr>
          <w:lang w:val="x-none" w:eastAsia="x-none"/>
        </w:rPr>
        <w:t>. Současná potřeba je:</w:t>
      </w:r>
    </w:p>
    <w:p w:rsidR="00437922" w:rsidRDefault="00437922" w:rsidP="00437922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Cca 450 virtuálních </w:t>
      </w:r>
      <w:proofErr w:type="spellStart"/>
      <w:r>
        <w:rPr>
          <w:lang w:val="x-none" w:eastAsia="x-none"/>
        </w:rPr>
        <w:t>Core</w:t>
      </w:r>
      <w:proofErr w:type="spellEnd"/>
    </w:p>
    <w:p w:rsidR="00437922" w:rsidRDefault="00437922" w:rsidP="00437922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Cca 2200 GB RAM paměti</w:t>
      </w:r>
    </w:p>
    <w:p w:rsidR="00437922" w:rsidRDefault="00437922" w:rsidP="00437922">
      <w:pPr>
        <w:rPr>
          <w:lang w:val="x-none" w:eastAsia="x-none"/>
        </w:rPr>
      </w:pPr>
      <w:r>
        <w:rPr>
          <w:lang w:val="x-none" w:eastAsia="x-none"/>
        </w:rPr>
        <w:t xml:space="preserve">Po obměně serverů bude k dispozici v </w:t>
      </w:r>
      <w:r w:rsidR="000D007B">
        <w:rPr>
          <w:lang w:val="x-none" w:eastAsia="x-none"/>
        </w:rPr>
        <w:t xml:space="preserve">novém </w:t>
      </w:r>
      <w:r>
        <w:rPr>
          <w:lang w:val="x-none" w:eastAsia="x-none"/>
        </w:rPr>
        <w:t>clusteru</w:t>
      </w:r>
      <w:r w:rsidR="000D007B">
        <w:rPr>
          <w:lang w:val="x-none" w:eastAsia="x-none"/>
        </w:rPr>
        <w:t xml:space="preserve"> celkem</w:t>
      </w:r>
      <w:r>
        <w:rPr>
          <w:lang w:val="x-none" w:eastAsia="x-none"/>
        </w:rPr>
        <w:t>:</w:t>
      </w:r>
    </w:p>
    <w:p w:rsidR="00437922" w:rsidRDefault="000D007B" w:rsidP="00437922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96 fyzických jader (192 logických jader serveru)</w:t>
      </w:r>
    </w:p>
    <w:p w:rsidR="000D007B" w:rsidRDefault="000D007B" w:rsidP="00437922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3TB RAM</w:t>
      </w:r>
    </w:p>
    <w:p w:rsidR="000D007B" w:rsidRDefault="000D007B" w:rsidP="000D007B">
      <w:pPr>
        <w:rPr>
          <w:lang w:val="x-none" w:eastAsia="x-none"/>
        </w:rPr>
      </w:pPr>
      <w:r>
        <w:rPr>
          <w:lang w:val="x-none" w:eastAsia="x-none"/>
        </w:rPr>
        <w:t>Původní cluster zůstane ze dvou mladších serverů:</w:t>
      </w:r>
    </w:p>
    <w:p w:rsidR="000D007B" w:rsidRDefault="000D007B" w:rsidP="000D007B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40 fyzických jader (80 logických jader)</w:t>
      </w:r>
    </w:p>
    <w:p w:rsidR="000D007B" w:rsidRDefault="000D007B" w:rsidP="000D007B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2.25TB RAM</w:t>
      </w:r>
    </w:p>
    <w:p w:rsidR="007E3311" w:rsidRDefault="007E3311" w:rsidP="007E3311">
      <w:pPr>
        <w:rPr>
          <w:lang w:val="x-none" w:eastAsia="x-none"/>
        </w:rPr>
      </w:pPr>
    </w:p>
    <w:p w:rsidR="007E3311" w:rsidRDefault="007E3311" w:rsidP="00C6273F">
      <w:pPr>
        <w:ind w:firstLine="708"/>
        <w:rPr>
          <w:lang w:val="x-none" w:eastAsia="x-none"/>
        </w:rPr>
      </w:pPr>
      <w:r>
        <w:rPr>
          <w:lang w:val="x-none" w:eastAsia="x-none"/>
        </w:rPr>
        <w:t xml:space="preserve">Navržená specifikace zároveň stanovuje technologický směr rozvoje </w:t>
      </w:r>
      <w:r w:rsidR="000D007B">
        <w:rPr>
          <w:lang w:val="x-none" w:eastAsia="x-none"/>
        </w:rPr>
        <w:t>plán</w:t>
      </w:r>
      <w:r>
        <w:rPr>
          <w:lang w:val="x-none" w:eastAsia="x-none"/>
        </w:rPr>
        <w:t>u</w:t>
      </w:r>
      <w:r w:rsidR="000D007B">
        <w:rPr>
          <w:lang w:val="x-none" w:eastAsia="x-none"/>
        </w:rPr>
        <w:t xml:space="preserve"> obnovy i zbývajících dvou serverů. </w:t>
      </w:r>
      <w:r>
        <w:rPr>
          <w:lang w:val="x-none" w:eastAsia="x-none"/>
        </w:rPr>
        <w:t>U nich použité procesory jsou ze strany výrobce</w:t>
      </w:r>
      <w:r w:rsidR="000D007B">
        <w:rPr>
          <w:lang w:val="x-none" w:eastAsia="x-none"/>
        </w:rPr>
        <w:t xml:space="preserve"> Intel </w:t>
      </w:r>
      <w:r>
        <w:rPr>
          <w:lang w:val="x-none" w:eastAsia="x-none"/>
        </w:rPr>
        <w:t>podpor</w:t>
      </w:r>
      <w:r w:rsidR="00D542F9">
        <w:rPr>
          <w:lang w:eastAsia="x-none"/>
        </w:rPr>
        <w:t>o</w:t>
      </w:r>
      <w:r>
        <w:rPr>
          <w:lang w:val="x-none" w:eastAsia="x-none"/>
        </w:rPr>
        <w:t xml:space="preserve">vány do </w:t>
      </w:r>
      <w:r w:rsidR="000D007B">
        <w:rPr>
          <w:lang w:val="x-none" w:eastAsia="x-none"/>
        </w:rPr>
        <w:t>31.12.2023</w:t>
      </w:r>
      <w:r>
        <w:rPr>
          <w:lang w:val="x-none" w:eastAsia="x-none"/>
        </w:rPr>
        <w:t xml:space="preserve">. K tomuto termínu již ukončil podporu (EOL) a tedy případně systémové nebo bezpečnostní zjištění již nebudou mít možnost nápravy. </w:t>
      </w:r>
    </w:p>
    <w:p w:rsidR="002409BE" w:rsidRDefault="002409BE" w:rsidP="002409BE">
      <w:pPr>
        <w:pStyle w:val="Nadpis3"/>
      </w:pPr>
      <w:bookmarkStart w:id="13" w:name="_Toc185336405"/>
      <w:r>
        <w:t>Technická část – zadání</w:t>
      </w:r>
      <w:bookmarkEnd w:id="13"/>
    </w:p>
    <w:p w:rsidR="005725AA" w:rsidRDefault="005725AA" w:rsidP="005725AA">
      <w:pPr>
        <w:rPr>
          <w:lang w:val="x-none" w:eastAsia="x-none"/>
        </w:rPr>
      </w:pPr>
    </w:p>
    <w:p w:rsidR="005725AA" w:rsidRDefault="005725AA" w:rsidP="005725AA">
      <w:pPr>
        <w:rPr>
          <w:lang w:val="x-none" w:eastAsia="x-none"/>
        </w:rPr>
      </w:pPr>
      <w:r>
        <w:rPr>
          <w:lang w:val="x-none" w:eastAsia="x-none"/>
        </w:rPr>
        <w:t>Parametry jsou uvedeny v souboru XLS záložce VŘ Město Břeclav</w:t>
      </w:r>
    </w:p>
    <w:p w:rsid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2"/>
      </w:pPr>
      <w:bookmarkStart w:id="14" w:name="_Toc185336406"/>
      <w:proofErr w:type="spellStart"/>
      <w:r>
        <w:t>Switche</w:t>
      </w:r>
      <w:bookmarkEnd w:id="14"/>
      <w:proofErr w:type="spellEnd"/>
    </w:p>
    <w:p w:rsidR="002409BE" w:rsidRDefault="002409BE" w:rsidP="002409BE">
      <w:pPr>
        <w:rPr>
          <w:lang w:val="x-none" w:eastAsia="x-none"/>
        </w:rPr>
      </w:pPr>
    </w:p>
    <w:p w:rsidR="002409BE" w:rsidRDefault="00D66AED" w:rsidP="002409BE">
      <w:pPr>
        <w:rPr>
          <w:lang w:val="x-none" w:eastAsia="x-none"/>
        </w:rPr>
      </w:pPr>
      <w:r>
        <w:rPr>
          <w:lang w:val="x-none" w:eastAsia="x-none"/>
        </w:rPr>
        <w:t xml:space="preserve">Studie proveditelnosti identifikovala a doporučila vybavení síťové infrastruktury města o </w:t>
      </w:r>
      <w:proofErr w:type="spellStart"/>
      <w:r w:rsidR="00657476">
        <w:rPr>
          <w:lang w:val="x-none" w:eastAsia="x-none"/>
        </w:rPr>
        <w:t>switche</w:t>
      </w:r>
      <w:proofErr w:type="spellEnd"/>
      <w:r>
        <w:rPr>
          <w:lang w:val="x-none" w:eastAsia="x-none"/>
        </w:rPr>
        <w:t xml:space="preserve"> pro potřebu  </w:t>
      </w:r>
      <w:r w:rsidRPr="00D66AED">
        <w:rPr>
          <w:lang w:val="x-none" w:eastAsia="x-none"/>
        </w:rPr>
        <w:t>zajištění bezpečné komunikace interních uživatelů správců pro řízení provozu a monitoring dostupnosti IS PO</w:t>
      </w:r>
      <w:r>
        <w:rPr>
          <w:lang w:val="x-none" w:eastAsia="x-none"/>
        </w:rPr>
        <w:t>.</w:t>
      </w:r>
    </w:p>
    <w:p w:rsidR="00D66AED" w:rsidRDefault="00D66AED" w:rsidP="002409BE">
      <w:pPr>
        <w:rPr>
          <w:lang w:val="x-none" w:eastAsia="x-none"/>
        </w:rPr>
      </w:pPr>
    </w:p>
    <w:p w:rsidR="00D66AED" w:rsidRDefault="00D66AED" w:rsidP="002409BE">
      <w:pPr>
        <w:rPr>
          <w:lang w:val="x-none" w:eastAsia="x-none"/>
        </w:rPr>
      </w:pPr>
      <w:r>
        <w:rPr>
          <w:lang w:val="x-none" w:eastAsia="x-none"/>
        </w:rPr>
        <w:t xml:space="preserve">Jde o osazení vždy dvou </w:t>
      </w:r>
      <w:proofErr w:type="spellStart"/>
      <w:r>
        <w:rPr>
          <w:lang w:val="x-none" w:eastAsia="x-none"/>
        </w:rPr>
        <w:t>switchů</w:t>
      </w:r>
      <w:proofErr w:type="spellEnd"/>
      <w:r>
        <w:rPr>
          <w:lang w:val="x-none" w:eastAsia="x-none"/>
        </w:rPr>
        <w:t xml:space="preserve"> na jednu lokalitu</w:t>
      </w:r>
      <w:r w:rsidR="00AE54D2">
        <w:rPr>
          <w:lang w:val="x-none" w:eastAsia="x-none"/>
        </w:rPr>
        <w:t>.</w:t>
      </w:r>
    </w:p>
    <w:p w:rsidR="002409BE" w:rsidRDefault="002409BE" w:rsidP="002409BE">
      <w:pPr>
        <w:pStyle w:val="Nadpis3"/>
      </w:pPr>
      <w:bookmarkStart w:id="15" w:name="_Toc185336407"/>
      <w:r>
        <w:t>Technická část – zadání</w:t>
      </w:r>
      <w:bookmarkEnd w:id="15"/>
    </w:p>
    <w:p w:rsidR="005725AA" w:rsidRDefault="005725AA" w:rsidP="005725AA">
      <w:pPr>
        <w:rPr>
          <w:lang w:val="x-none" w:eastAsia="x-none"/>
        </w:rPr>
      </w:pPr>
    </w:p>
    <w:p w:rsidR="005725AA" w:rsidRDefault="005725AA" w:rsidP="005725AA">
      <w:pPr>
        <w:rPr>
          <w:lang w:val="x-none" w:eastAsia="x-none"/>
        </w:rPr>
      </w:pPr>
      <w:r>
        <w:rPr>
          <w:lang w:val="x-none" w:eastAsia="x-none"/>
        </w:rPr>
        <w:t>Parametry jsou uvedeny v souboru XLS záložce VŘ Město Břeclav</w:t>
      </w:r>
    </w:p>
    <w:p w:rsid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2"/>
      </w:pPr>
      <w:bookmarkStart w:id="16" w:name="_Toc185336408"/>
      <w:r>
        <w:t>Licence Windows server 2022 + CAL</w:t>
      </w:r>
      <w:bookmarkEnd w:id="16"/>
    </w:p>
    <w:p w:rsidR="002409BE" w:rsidRDefault="002409BE" w:rsidP="002409BE">
      <w:pPr>
        <w:rPr>
          <w:lang w:val="x-none" w:eastAsia="x-none"/>
        </w:rPr>
      </w:pPr>
    </w:p>
    <w:p w:rsidR="002409BE" w:rsidRDefault="00992F5F" w:rsidP="002409BE">
      <w:pPr>
        <w:rPr>
          <w:lang w:val="x-none" w:eastAsia="x-none"/>
        </w:rPr>
      </w:pPr>
      <w:r>
        <w:rPr>
          <w:lang w:val="x-none" w:eastAsia="x-none"/>
        </w:rPr>
        <w:t xml:space="preserve">Projektem je požadováno sjednocení serverové infrastruktury z pohledu operačních systémů a přístupových licencí (CAL) k serveru na poslední verzi 2022. </w:t>
      </w:r>
    </w:p>
    <w:p w:rsidR="00992F5F" w:rsidRDefault="00992F5F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17" w:name="_Toc185336409"/>
      <w:r>
        <w:t>Shrnutí aktuálního stavu</w:t>
      </w:r>
      <w:bookmarkEnd w:id="17"/>
    </w:p>
    <w:p w:rsidR="002409BE" w:rsidRDefault="002409BE" w:rsidP="002409BE">
      <w:pPr>
        <w:rPr>
          <w:lang w:val="x-none" w:eastAsia="x-none"/>
        </w:rPr>
      </w:pPr>
    </w:p>
    <w:p w:rsidR="00992F5F" w:rsidRDefault="00992F5F" w:rsidP="002409BE">
      <w:pPr>
        <w:rPr>
          <w:lang w:val="x-none" w:eastAsia="x-none"/>
        </w:rPr>
      </w:pPr>
      <w:r>
        <w:rPr>
          <w:lang w:val="x-none" w:eastAsia="x-none"/>
        </w:rPr>
        <w:t>Ze spolupráce s IT Města Břeclav a jimi dodaných podkladů je aktuální stav licencování následující:</w:t>
      </w:r>
    </w:p>
    <w:p w:rsidR="00992F5F" w:rsidRDefault="00992F5F" w:rsidP="002409BE">
      <w:pPr>
        <w:rPr>
          <w:lang w:val="x-none" w:eastAsia="x-none"/>
        </w:rPr>
      </w:pPr>
    </w:p>
    <w:p w:rsidR="00992F5F" w:rsidRDefault="00992F5F" w:rsidP="002409BE">
      <w:pPr>
        <w:rPr>
          <w:lang w:val="x-none" w:eastAsia="x-none"/>
        </w:rPr>
      </w:pPr>
      <w:r>
        <w:rPr>
          <w:lang w:val="x-none" w:eastAsia="x-none"/>
        </w:rPr>
        <w:t xml:space="preserve">1 kus Windows server 2019 </w:t>
      </w:r>
      <w:proofErr w:type="spellStart"/>
      <w:r>
        <w:rPr>
          <w:lang w:val="x-none" w:eastAsia="x-none"/>
        </w:rPr>
        <w:t>Datacenter</w:t>
      </w:r>
      <w:proofErr w:type="spellEnd"/>
      <w:r>
        <w:rPr>
          <w:lang w:val="x-none" w:eastAsia="x-none"/>
        </w:rPr>
        <w:t xml:space="preserve"> (16 </w:t>
      </w:r>
      <w:proofErr w:type="spellStart"/>
      <w:r>
        <w:rPr>
          <w:lang w:val="x-none" w:eastAsia="x-none"/>
        </w:rPr>
        <w:t>Core</w:t>
      </w:r>
      <w:proofErr w:type="spellEnd"/>
      <w:r>
        <w:rPr>
          <w:lang w:val="x-none" w:eastAsia="x-none"/>
        </w:rPr>
        <w:t>)</w:t>
      </w:r>
    </w:p>
    <w:p w:rsidR="00992F5F" w:rsidRDefault="00992F5F" w:rsidP="002409BE">
      <w:pPr>
        <w:rPr>
          <w:lang w:val="x-none" w:eastAsia="x-none"/>
        </w:rPr>
      </w:pPr>
      <w:r>
        <w:rPr>
          <w:lang w:val="x-none" w:eastAsia="x-none"/>
        </w:rPr>
        <w:t xml:space="preserve">5 kusů Windows server 2016 </w:t>
      </w:r>
      <w:proofErr w:type="spellStart"/>
      <w:r>
        <w:rPr>
          <w:lang w:val="x-none" w:eastAsia="x-none"/>
        </w:rPr>
        <w:t>Datacenter</w:t>
      </w:r>
      <w:proofErr w:type="spellEnd"/>
      <w:r>
        <w:rPr>
          <w:lang w:val="x-none" w:eastAsia="x-none"/>
        </w:rPr>
        <w:t xml:space="preserve"> OEM Dell</w:t>
      </w:r>
    </w:p>
    <w:p w:rsidR="00992F5F" w:rsidRDefault="00992F5F" w:rsidP="002409BE">
      <w:pPr>
        <w:rPr>
          <w:lang w:val="x-none" w:eastAsia="x-none"/>
        </w:rPr>
      </w:pPr>
      <w:r>
        <w:rPr>
          <w:lang w:val="x-none" w:eastAsia="x-none"/>
        </w:rPr>
        <w:t>2 kusy Windows server 2016 Standard</w:t>
      </w:r>
    </w:p>
    <w:p w:rsidR="00992F5F" w:rsidRDefault="00992F5F" w:rsidP="002409BE">
      <w:pPr>
        <w:rPr>
          <w:lang w:val="x-none" w:eastAsia="x-none"/>
        </w:rPr>
      </w:pPr>
      <w:r>
        <w:rPr>
          <w:lang w:val="x-none" w:eastAsia="x-none"/>
        </w:rPr>
        <w:lastRenderedPageBreak/>
        <w:t>1 kus Windows server 2022 Standard</w:t>
      </w:r>
    </w:p>
    <w:p w:rsidR="00992F5F" w:rsidRDefault="00992F5F" w:rsidP="002409BE">
      <w:pPr>
        <w:rPr>
          <w:lang w:val="x-none" w:eastAsia="x-none"/>
        </w:rPr>
      </w:pP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>Podstatné z pohledu udržitelnosti po dobu trvání projektu je životní cyklus jednotlivých verzí:</w:t>
      </w:r>
    </w:p>
    <w:p w:rsidR="00F55837" w:rsidRDefault="00F55837" w:rsidP="002409BE">
      <w:pPr>
        <w:rPr>
          <w:lang w:val="x-none" w:eastAsia="x-none"/>
        </w:rPr>
      </w:pP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 xml:space="preserve">MS Windows server 2016 je již v režimu </w:t>
      </w:r>
      <w:proofErr w:type="spellStart"/>
      <w:r>
        <w:rPr>
          <w:lang w:val="x-none" w:eastAsia="x-none"/>
        </w:rPr>
        <w:t>Extended</w:t>
      </w:r>
      <w:proofErr w:type="spellEnd"/>
      <w:r>
        <w:rPr>
          <w:lang w:val="x-none" w:eastAsia="x-none"/>
        </w:rPr>
        <w:t xml:space="preserve"> a ta bude ukončena 12.1.2027</w:t>
      </w: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 xml:space="preserve">MS Windows server 2019 je již také v režimu </w:t>
      </w:r>
      <w:proofErr w:type="spellStart"/>
      <w:r>
        <w:rPr>
          <w:lang w:val="x-none" w:eastAsia="x-none"/>
        </w:rPr>
        <w:t>Extended</w:t>
      </w:r>
      <w:proofErr w:type="spellEnd"/>
      <w:r>
        <w:rPr>
          <w:lang w:val="x-none" w:eastAsia="x-none"/>
        </w:rPr>
        <w:t xml:space="preserve"> a ten bude ukončen 9.1.2029</w:t>
      </w: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 xml:space="preserve">MS Windows server 2022 je v režimu </w:t>
      </w:r>
      <w:proofErr w:type="spellStart"/>
      <w:r>
        <w:rPr>
          <w:lang w:val="x-none" w:eastAsia="x-none"/>
        </w:rPr>
        <w:t>Mainstream</w:t>
      </w:r>
      <w:proofErr w:type="spellEnd"/>
      <w:r>
        <w:rPr>
          <w:lang w:val="x-none" w:eastAsia="x-none"/>
        </w:rPr>
        <w:t xml:space="preserve"> support, který 13.10.2026 přejde do režimu </w:t>
      </w:r>
      <w:proofErr w:type="spellStart"/>
      <w:r>
        <w:rPr>
          <w:lang w:val="x-none" w:eastAsia="x-none"/>
        </w:rPr>
        <w:t>Extended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suppport</w:t>
      </w:r>
      <w:proofErr w:type="spellEnd"/>
      <w:r>
        <w:rPr>
          <w:lang w:val="x-none" w:eastAsia="x-none"/>
        </w:rPr>
        <w:t xml:space="preserve"> a ten bude ukončen 14.10.2031.</w:t>
      </w:r>
    </w:p>
    <w:p w:rsidR="00F55837" w:rsidRDefault="00F55837" w:rsidP="002409BE">
      <w:pPr>
        <w:rPr>
          <w:lang w:val="x-none" w:eastAsia="x-none"/>
        </w:rPr>
      </w:pP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>Pro zajištění udržitelnosti je nutná obměna verzí operačních systémů Microsoft serveru včetně CAL přístupových licencí. Licence RDS CAL není třeba řešit. Ty Město Břeclav zakoupilo v nedávné době v potřebném počtu.</w:t>
      </w:r>
    </w:p>
    <w:p w:rsidR="00F55837" w:rsidRDefault="00F55837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18" w:name="_Toc185336410"/>
      <w:r>
        <w:t>Popis požadovaného řešení</w:t>
      </w:r>
      <w:bookmarkEnd w:id="18"/>
    </w:p>
    <w:p w:rsidR="002409BE" w:rsidRDefault="002409BE" w:rsidP="002409BE">
      <w:pPr>
        <w:rPr>
          <w:lang w:val="x-none" w:eastAsia="x-none"/>
        </w:rPr>
      </w:pP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>Cílový stav přidělených licencí je uveden v tabulce:</w:t>
      </w:r>
    </w:p>
    <w:p w:rsidR="00F55837" w:rsidRDefault="00F55837" w:rsidP="002409BE">
      <w:pPr>
        <w:rPr>
          <w:lang w:val="x-none" w:eastAsia="x-none"/>
        </w:rPr>
      </w:pPr>
    </w:p>
    <w:p w:rsidR="00F55837" w:rsidRDefault="001420A3" w:rsidP="002409BE">
      <w:pPr>
        <w:rPr>
          <w:lang w:val="x-none" w:eastAsia="x-none"/>
        </w:rPr>
      </w:pPr>
      <w:r w:rsidRPr="00F55837">
        <w:rPr>
          <w:noProof/>
        </w:rPr>
        <w:drawing>
          <wp:inline distT="0" distB="0" distL="0" distR="0">
            <wp:extent cx="5760720" cy="18059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37" w:rsidRDefault="00F55837" w:rsidP="002409BE">
      <w:pPr>
        <w:rPr>
          <w:lang w:val="x-none" w:eastAsia="x-none"/>
        </w:rPr>
      </w:pPr>
    </w:p>
    <w:p w:rsidR="00F55837" w:rsidRDefault="00F55837" w:rsidP="002409BE">
      <w:pPr>
        <w:rPr>
          <w:lang w:val="x-none" w:eastAsia="x-none"/>
        </w:rPr>
      </w:pPr>
      <w:r>
        <w:rPr>
          <w:lang w:val="x-none" w:eastAsia="x-none"/>
        </w:rPr>
        <w:t xml:space="preserve">Jde o zakoupení 5 licencí MS Windows server 2022 </w:t>
      </w:r>
      <w:proofErr w:type="spellStart"/>
      <w:r>
        <w:rPr>
          <w:lang w:val="x-none" w:eastAsia="x-none"/>
        </w:rPr>
        <w:t>Datacenter</w:t>
      </w:r>
      <w:proofErr w:type="spellEnd"/>
      <w:r>
        <w:rPr>
          <w:lang w:val="x-none" w:eastAsia="x-none"/>
        </w:rPr>
        <w:t xml:space="preserve"> 16 </w:t>
      </w:r>
      <w:proofErr w:type="spellStart"/>
      <w:r>
        <w:rPr>
          <w:lang w:val="x-none" w:eastAsia="x-none"/>
        </w:rPr>
        <w:t>Core</w:t>
      </w:r>
      <w:proofErr w:type="spellEnd"/>
      <w:r>
        <w:rPr>
          <w:lang w:val="x-none" w:eastAsia="x-none"/>
        </w:rPr>
        <w:t xml:space="preserve"> doplněný o</w:t>
      </w:r>
      <w:r w:rsidR="00D542F9">
        <w:rPr>
          <w:lang w:eastAsia="x-none"/>
        </w:rPr>
        <w:t xml:space="preserve"> </w:t>
      </w:r>
      <w:r>
        <w:rPr>
          <w:lang w:val="x-none" w:eastAsia="x-none"/>
        </w:rPr>
        <w:t xml:space="preserve">potřebný počet doplňkových 2 </w:t>
      </w:r>
      <w:proofErr w:type="spellStart"/>
      <w:r>
        <w:rPr>
          <w:lang w:val="x-none" w:eastAsia="x-none"/>
        </w:rPr>
        <w:t>Core</w:t>
      </w:r>
      <w:proofErr w:type="spellEnd"/>
      <w:r>
        <w:rPr>
          <w:lang w:val="x-none" w:eastAsia="x-none"/>
        </w:rPr>
        <w:t xml:space="preserve"> licencí. Zakoupené spolu se Software </w:t>
      </w:r>
      <w:proofErr w:type="spellStart"/>
      <w:r>
        <w:rPr>
          <w:lang w:val="x-none" w:eastAsia="x-none"/>
        </w:rPr>
        <w:t>Assurance</w:t>
      </w:r>
      <w:proofErr w:type="spellEnd"/>
      <w:r>
        <w:rPr>
          <w:lang w:val="x-none" w:eastAsia="x-none"/>
        </w:rPr>
        <w:t xml:space="preserve"> (SA) tak, aby bylo možné využít prodlužování SA a zajistit si tak nasazení nových verzí OS i po vypršení </w:t>
      </w:r>
      <w:proofErr w:type="spellStart"/>
      <w:r>
        <w:rPr>
          <w:lang w:val="x-none" w:eastAsia="x-none"/>
        </w:rPr>
        <w:t>Maintenance</w:t>
      </w:r>
      <w:proofErr w:type="spellEnd"/>
      <w:r>
        <w:rPr>
          <w:lang w:val="x-none" w:eastAsia="x-none"/>
        </w:rPr>
        <w:t xml:space="preserve"> periody dnes </w:t>
      </w:r>
      <w:r w:rsidR="008159E7">
        <w:rPr>
          <w:lang w:val="x-none" w:eastAsia="x-none"/>
        </w:rPr>
        <w:t>poslední verze OS serveru 2022.</w:t>
      </w:r>
    </w:p>
    <w:p w:rsidR="008159E7" w:rsidRDefault="008159E7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19" w:name="_Toc185336411"/>
      <w:r>
        <w:t>Technická část – zadání</w:t>
      </w:r>
      <w:bookmarkEnd w:id="19"/>
    </w:p>
    <w:p w:rsidR="002409BE" w:rsidRDefault="002409BE" w:rsidP="002409BE">
      <w:pPr>
        <w:rPr>
          <w:lang w:val="x-none" w:eastAsia="x-none"/>
        </w:rPr>
      </w:pPr>
    </w:p>
    <w:p w:rsidR="005725AA" w:rsidRDefault="005725AA" w:rsidP="005725AA">
      <w:pPr>
        <w:rPr>
          <w:lang w:val="x-none" w:eastAsia="x-none"/>
        </w:rPr>
      </w:pPr>
      <w:r>
        <w:rPr>
          <w:lang w:val="x-none" w:eastAsia="x-none"/>
        </w:rPr>
        <w:t>Parametry jsou uvedeny v souboru XLS záložce VŘ Město Břeclav</w:t>
      </w:r>
    </w:p>
    <w:p w:rsidR="005725AA" w:rsidRDefault="005725AA" w:rsidP="002409BE">
      <w:pPr>
        <w:rPr>
          <w:lang w:val="x-none" w:eastAsia="x-none"/>
        </w:rPr>
      </w:pPr>
    </w:p>
    <w:p w:rsidR="002409BE" w:rsidRDefault="002409BE" w:rsidP="002409BE">
      <w:pPr>
        <w:pStyle w:val="Nadpis2"/>
      </w:pPr>
      <w:bookmarkStart w:id="20" w:name="_Toc185336412"/>
      <w:r>
        <w:t>Licence MS Office</w:t>
      </w:r>
      <w:bookmarkEnd w:id="20"/>
      <w:r>
        <w:t xml:space="preserve"> </w:t>
      </w:r>
    </w:p>
    <w:p w:rsidR="002409BE" w:rsidRDefault="002409BE" w:rsidP="002409BE">
      <w:pPr>
        <w:rPr>
          <w:lang w:val="x-none" w:eastAsia="x-none"/>
        </w:rPr>
      </w:pPr>
    </w:p>
    <w:p w:rsidR="002409BE" w:rsidRDefault="00891A55" w:rsidP="002409BE">
      <w:pPr>
        <w:rPr>
          <w:lang w:val="x-none" w:eastAsia="x-none"/>
        </w:rPr>
      </w:pPr>
      <w:r>
        <w:rPr>
          <w:lang w:val="x-none" w:eastAsia="x-none"/>
        </w:rPr>
        <w:t xml:space="preserve">Je poptáváno 50 kusů licencí pro MS </w:t>
      </w:r>
      <w:proofErr w:type="spellStart"/>
      <w:r>
        <w:rPr>
          <w:lang w:val="x-none" w:eastAsia="x-none"/>
        </w:rPr>
        <w:t>office</w:t>
      </w:r>
      <w:proofErr w:type="spellEnd"/>
      <w:r>
        <w:rPr>
          <w:lang w:val="x-none" w:eastAsia="x-none"/>
        </w:rPr>
        <w:t xml:space="preserve"> </w:t>
      </w:r>
      <w:r w:rsidR="00992F5F">
        <w:rPr>
          <w:lang w:val="x-none" w:eastAsia="x-none"/>
        </w:rPr>
        <w:t xml:space="preserve">Standard s jednoletou Software </w:t>
      </w:r>
      <w:proofErr w:type="spellStart"/>
      <w:r w:rsidR="00992F5F">
        <w:rPr>
          <w:lang w:val="x-none" w:eastAsia="x-none"/>
        </w:rPr>
        <w:t>Assurance</w:t>
      </w:r>
      <w:proofErr w:type="spellEnd"/>
      <w:r>
        <w:rPr>
          <w:lang w:val="x-none" w:eastAsia="x-none"/>
        </w:rPr>
        <w:t xml:space="preserve">. </w:t>
      </w:r>
    </w:p>
    <w:p w:rsidR="002409BE" w:rsidRDefault="002409BE" w:rsidP="002409BE">
      <w:pPr>
        <w:pStyle w:val="Nadpis3"/>
      </w:pPr>
      <w:bookmarkStart w:id="21" w:name="_Toc185336413"/>
      <w:r>
        <w:t>Popis požadovaného řešení</w:t>
      </w:r>
      <w:bookmarkEnd w:id="21"/>
    </w:p>
    <w:p w:rsidR="002409BE" w:rsidRDefault="005725AA" w:rsidP="002409BE">
      <w:pPr>
        <w:rPr>
          <w:lang w:val="x-none" w:eastAsia="x-none"/>
        </w:rPr>
      </w:pPr>
      <w:r>
        <w:rPr>
          <w:lang w:val="x-none" w:eastAsia="x-none"/>
        </w:rPr>
        <w:t>Parametry jsou uvedeny v souboru XLS záložce VŘ Město Břeclav</w:t>
      </w:r>
    </w:p>
    <w:p w:rsid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2"/>
      </w:pPr>
      <w:bookmarkStart w:id="22" w:name="_Toc185336414"/>
      <w:r>
        <w:t xml:space="preserve">Licence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28 kusů</w:t>
      </w:r>
      <w:bookmarkEnd w:id="22"/>
    </w:p>
    <w:p w:rsidR="002409BE" w:rsidRDefault="002409BE" w:rsidP="002409BE">
      <w:pPr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23" w:name="_Toc185336415"/>
      <w:r>
        <w:lastRenderedPageBreak/>
        <w:t>Shrnutí aktuálního stavu</w:t>
      </w:r>
      <w:bookmarkEnd w:id="23"/>
    </w:p>
    <w:p w:rsidR="002409BE" w:rsidRDefault="002409BE" w:rsidP="002409BE">
      <w:pPr>
        <w:rPr>
          <w:lang w:val="x-none" w:eastAsia="x-none"/>
        </w:rPr>
      </w:pPr>
    </w:p>
    <w:p w:rsidR="00FB5FB6" w:rsidRDefault="00FB5FB6" w:rsidP="00FB5FB6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Město Břeclav disponuje platnou smlouvou podpory produktu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v původním licenčním modelu. Jde o dvě položky:</w:t>
      </w:r>
    </w:p>
    <w:p w:rsidR="00FB5FB6" w:rsidRDefault="00FB5FB6" w:rsidP="004F18AC">
      <w:pPr>
        <w:numPr>
          <w:ilvl w:val="0"/>
          <w:numId w:val="34"/>
        </w:numPr>
        <w:rPr>
          <w:lang w:val="x-none" w:eastAsia="x-none"/>
        </w:rPr>
      </w:pPr>
      <w:proofErr w:type="spellStart"/>
      <w:r w:rsidRPr="00FB5FB6">
        <w:rPr>
          <w:lang w:val="x-none" w:eastAsia="x-none"/>
        </w:rPr>
        <w:t>VMware</w:t>
      </w:r>
      <w:proofErr w:type="spellEnd"/>
      <w:r w:rsidRPr="00FB5FB6">
        <w:rPr>
          <w:lang w:val="x-none" w:eastAsia="x-none"/>
        </w:rPr>
        <w:t xml:space="preserve"> </w:t>
      </w:r>
      <w:proofErr w:type="spellStart"/>
      <w:r w:rsidRPr="00FB5FB6">
        <w:rPr>
          <w:lang w:val="x-none" w:eastAsia="x-none"/>
        </w:rPr>
        <w:t>vCenter</w:t>
      </w:r>
      <w:proofErr w:type="spellEnd"/>
      <w:r w:rsidRPr="00FB5FB6">
        <w:rPr>
          <w:lang w:val="x-none" w:eastAsia="x-none"/>
        </w:rPr>
        <w:t xml:space="preserve"> Server 8 Standard </w:t>
      </w:r>
      <w:proofErr w:type="spellStart"/>
      <w:r w:rsidRPr="00FB5FB6">
        <w:rPr>
          <w:lang w:val="x-none" w:eastAsia="x-none"/>
        </w:rPr>
        <w:t>for</w:t>
      </w:r>
      <w:proofErr w:type="spellEnd"/>
      <w:r w:rsidRPr="00FB5FB6">
        <w:rPr>
          <w:lang w:val="x-none" w:eastAsia="x-none"/>
        </w:rPr>
        <w:t xml:space="preserve"> </w:t>
      </w:r>
      <w:proofErr w:type="spellStart"/>
      <w:r w:rsidRPr="00FB5FB6">
        <w:rPr>
          <w:lang w:val="x-none" w:eastAsia="x-none"/>
        </w:rPr>
        <w:t>vSphere</w:t>
      </w:r>
      <w:proofErr w:type="spellEnd"/>
      <w:r w:rsidRPr="00FB5FB6">
        <w:rPr>
          <w:lang w:val="x-none" w:eastAsia="x-none"/>
        </w:rPr>
        <w:t xml:space="preserve"> 8</w:t>
      </w:r>
      <w:r>
        <w:rPr>
          <w:lang w:val="x-none" w:eastAsia="x-none"/>
        </w:rPr>
        <w:t xml:space="preserve"> v počtu 1 kus</w:t>
      </w:r>
    </w:p>
    <w:p w:rsidR="00FB5FB6" w:rsidRDefault="00FB5FB6" w:rsidP="004F18AC">
      <w:pPr>
        <w:numPr>
          <w:ilvl w:val="0"/>
          <w:numId w:val="34"/>
        </w:numPr>
        <w:rPr>
          <w:lang w:val="x-none" w:eastAsia="x-none"/>
        </w:rPr>
      </w:pPr>
      <w:r w:rsidRPr="00FB5FB6">
        <w:rPr>
          <w:lang w:val="x-none" w:eastAsia="x-none"/>
        </w:rPr>
        <w:t xml:space="preserve">SW </w:t>
      </w:r>
      <w:proofErr w:type="spellStart"/>
      <w:r w:rsidRPr="00FB5FB6">
        <w:rPr>
          <w:lang w:val="x-none" w:eastAsia="x-none"/>
        </w:rPr>
        <w:t>VMware</w:t>
      </w:r>
      <w:proofErr w:type="spellEnd"/>
      <w:r w:rsidRPr="00FB5FB6">
        <w:rPr>
          <w:lang w:val="x-none" w:eastAsia="x-none"/>
        </w:rPr>
        <w:t xml:space="preserve"> </w:t>
      </w:r>
      <w:proofErr w:type="spellStart"/>
      <w:r w:rsidRPr="00FB5FB6">
        <w:rPr>
          <w:lang w:val="x-none" w:eastAsia="x-none"/>
        </w:rPr>
        <w:t>vSphere</w:t>
      </w:r>
      <w:proofErr w:type="spellEnd"/>
      <w:r w:rsidRPr="00FB5FB6">
        <w:rPr>
          <w:lang w:val="x-none" w:eastAsia="x-none"/>
        </w:rPr>
        <w:t xml:space="preserve"> 8 Standard </w:t>
      </w:r>
      <w:proofErr w:type="spellStart"/>
      <w:r w:rsidRPr="00FB5FB6">
        <w:rPr>
          <w:lang w:val="x-none" w:eastAsia="x-none"/>
        </w:rPr>
        <w:t>for</w:t>
      </w:r>
      <w:proofErr w:type="spellEnd"/>
      <w:r w:rsidRPr="00FB5FB6">
        <w:rPr>
          <w:lang w:val="x-none" w:eastAsia="x-none"/>
        </w:rPr>
        <w:t xml:space="preserve"> </w:t>
      </w:r>
      <w:r>
        <w:rPr>
          <w:lang w:val="x-none" w:eastAsia="x-none"/>
        </w:rPr>
        <w:t xml:space="preserve">1 </w:t>
      </w:r>
      <w:proofErr w:type="spellStart"/>
      <w:r w:rsidRPr="00FB5FB6">
        <w:rPr>
          <w:lang w:val="x-none" w:eastAsia="x-none"/>
        </w:rPr>
        <w:t>processor</w:t>
      </w:r>
      <w:proofErr w:type="spellEnd"/>
      <w:r>
        <w:rPr>
          <w:lang w:val="x-none" w:eastAsia="x-none"/>
        </w:rPr>
        <w:t xml:space="preserve"> v počtu 20 jednotek (procesorů)</w:t>
      </w:r>
    </w:p>
    <w:p w:rsidR="00FB5FB6" w:rsidRDefault="00FB5FB6" w:rsidP="00FB5FB6">
      <w:pPr>
        <w:ind w:firstLine="708"/>
        <w:rPr>
          <w:lang w:val="x-none" w:eastAsia="x-none"/>
        </w:rPr>
      </w:pPr>
      <w:r>
        <w:rPr>
          <w:lang w:val="x-none" w:eastAsia="x-none"/>
        </w:rPr>
        <w:t xml:space="preserve">Platnost </w:t>
      </w:r>
      <w:proofErr w:type="spellStart"/>
      <w:r>
        <w:rPr>
          <w:lang w:val="x-none" w:eastAsia="x-none"/>
        </w:rPr>
        <w:t>maintenance</w:t>
      </w:r>
      <w:proofErr w:type="spellEnd"/>
      <w:r>
        <w:rPr>
          <w:lang w:val="x-none" w:eastAsia="x-none"/>
        </w:rPr>
        <w:t xml:space="preserve"> je dána Fakturou od dodavatele z 9.10.2023 a je v trvání jednoho roku. Tedy Podpora vyprší 8.10.2024.</w:t>
      </w:r>
    </w:p>
    <w:p w:rsidR="00FB5FB6" w:rsidRDefault="00FB5FB6" w:rsidP="00FB5FB6">
      <w:pPr>
        <w:rPr>
          <w:lang w:val="x-none" w:eastAsia="x-none"/>
        </w:rPr>
      </w:pPr>
      <w:r>
        <w:rPr>
          <w:lang w:val="x-none" w:eastAsia="x-none"/>
        </w:rPr>
        <w:t>Z toho plynou tři základní skutečnosti:</w:t>
      </w:r>
    </w:p>
    <w:p w:rsidR="00FB5FB6" w:rsidRDefault="00FB5FB6" w:rsidP="00FB5FB6">
      <w:pPr>
        <w:numPr>
          <w:ilvl w:val="0"/>
          <w:numId w:val="36"/>
        </w:numPr>
        <w:rPr>
          <w:lang w:val="x-none" w:eastAsia="x-none"/>
        </w:rPr>
      </w:pPr>
      <w:r>
        <w:rPr>
          <w:lang w:val="x-none" w:eastAsia="x-none"/>
        </w:rPr>
        <w:t xml:space="preserve">Město Břeclav je oprávněno provozovat </w:t>
      </w:r>
      <w:proofErr w:type="spellStart"/>
      <w:r>
        <w:rPr>
          <w:lang w:val="x-none" w:eastAsia="x-none"/>
        </w:rPr>
        <w:t>virtualizační</w:t>
      </w:r>
      <w:proofErr w:type="spellEnd"/>
      <w:r>
        <w:rPr>
          <w:lang w:val="x-none" w:eastAsia="x-none"/>
        </w:rPr>
        <w:t xml:space="preserve"> prostředí na aktuálně poslední verzi 8.</w:t>
      </w:r>
    </w:p>
    <w:p w:rsidR="00FB5FB6" w:rsidRDefault="00FB5FB6" w:rsidP="00FB5FB6">
      <w:pPr>
        <w:numPr>
          <w:ilvl w:val="0"/>
          <w:numId w:val="36"/>
        </w:numPr>
        <w:rPr>
          <w:lang w:val="x-none" w:eastAsia="x-none"/>
        </w:rPr>
      </w:pPr>
      <w:r>
        <w:rPr>
          <w:lang w:val="x-none" w:eastAsia="x-none"/>
        </w:rPr>
        <w:t>Město Břeclav má právo po tuto dobu čerpat podporu a aktualizace produktu od výrobce.</w:t>
      </w:r>
    </w:p>
    <w:p w:rsidR="00FB5FB6" w:rsidRDefault="00FB5FB6" w:rsidP="00FB5FB6">
      <w:pPr>
        <w:numPr>
          <w:ilvl w:val="0"/>
          <w:numId w:val="36"/>
        </w:numPr>
        <w:rPr>
          <w:lang w:val="x-none" w:eastAsia="x-none"/>
        </w:rPr>
      </w:pPr>
      <w:r>
        <w:rPr>
          <w:lang w:val="x-none" w:eastAsia="x-none"/>
        </w:rPr>
        <w:t xml:space="preserve">Město Břeclav po uplynutí podpory je vlastníkem licence v poslední platné a instalované verzi produktu. </w:t>
      </w:r>
    </w:p>
    <w:p w:rsidR="00FB5FB6" w:rsidRDefault="00FB5FB6" w:rsidP="00FB5FB6">
      <w:pPr>
        <w:rPr>
          <w:lang w:val="x-none" w:eastAsia="x-none"/>
        </w:rPr>
      </w:pPr>
    </w:p>
    <w:p w:rsidR="00FB5FB6" w:rsidRDefault="00FB5FB6" w:rsidP="00FB5FB6">
      <w:pPr>
        <w:ind w:firstLine="360"/>
        <w:rPr>
          <w:lang w:val="x-none" w:eastAsia="x-none"/>
        </w:rPr>
      </w:pPr>
      <w:r>
        <w:rPr>
          <w:lang w:val="x-none" w:eastAsia="x-none"/>
        </w:rPr>
        <w:t xml:space="preserve">Pokud by neprovedlo žádnou další investici má možnost provozovat </w:t>
      </w:r>
      <w:proofErr w:type="spellStart"/>
      <w:r>
        <w:rPr>
          <w:lang w:val="x-none" w:eastAsia="x-none"/>
        </w:rPr>
        <w:t>virtualizační</w:t>
      </w:r>
      <w:proofErr w:type="spellEnd"/>
      <w:r>
        <w:rPr>
          <w:lang w:val="x-none" w:eastAsia="x-none"/>
        </w:rPr>
        <w:t xml:space="preserve"> prostředí po další roky na vlastní zodpovědnost. Bez podpory výrobce nebo dodavatele.</w:t>
      </w:r>
    </w:p>
    <w:p w:rsidR="00FB5FB6" w:rsidRDefault="00FB5FB6" w:rsidP="00FB5FB6">
      <w:pPr>
        <w:ind w:firstLine="360"/>
        <w:rPr>
          <w:lang w:val="x-none" w:eastAsia="x-none"/>
        </w:rPr>
      </w:pPr>
      <w:r>
        <w:rPr>
          <w:lang w:val="x-none" w:eastAsia="x-none"/>
        </w:rPr>
        <w:t>To z pohledu správce není udržitelné řešení. Nemožnost řešit jakýkoli problém nebo nefunkčnost</w:t>
      </w:r>
      <w:r w:rsidR="00616306">
        <w:rPr>
          <w:lang w:val="x-none" w:eastAsia="x-none"/>
        </w:rPr>
        <w:t>,</w:t>
      </w:r>
      <w:r>
        <w:rPr>
          <w:lang w:val="x-none" w:eastAsia="x-none"/>
        </w:rPr>
        <w:t xml:space="preserve"> byť částečnou</w:t>
      </w:r>
      <w:r w:rsidR="00616306">
        <w:rPr>
          <w:lang w:val="x-none" w:eastAsia="x-none"/>
        </w:rPr>
        <w:t>,</w:t>
      </w:r>
      <w:r>
        <w:rPr>
          <w:lang w:val="x-none" w:eastAsia="x-none"/>
        </w:rPr>
        <w:t xml:space="preserve"> kdykoli v budoucnu</w:t>
      </w:r>
      <w:r w:rsidR="00616306">
        <w:rPr>
          <w:lang w:val="x-none" w:eastAsia="x-none"/>
        </w:rPr>
        <w:t xml:space="preserve"> ohrožuje dostupnost IT aplikací a tím provoz celého úřadu včetně příspěvkových organizací.</w:t>
      </w:r>
    </w:p>
    <w:p w:rsidR="00616306" w:rsidRPr="00FB5FB6" w:rsidRDefault="00616306" w:rsidP="00FB5FB6">
      <w:pPr>
        <w:ind w:firstLine="360"/>
        <w:rPr>
          <w:lang w:val="x-none" w:eastAsia="x-none"/>
        </w:rPr>
      </w:pPr>
    </w:p>
    <w:p w:rsidR="002409BE" w:rsidRDefault="002409BE" w:rsidP="002409BE">
      <w:pPr>
        <w:pStyle w:val="Nadpis3"/>
      </w:pPr>
      <w:bookmarkStart w:id="24" w:name="_Toc185336416"/>
      <w:r>
        <w:t>Popis požadovaného řešení</w:t>
      </w:r>
      <w:bookmarkEnd w:id="24"/>
    </w:p>
    <w:p w:rsidR="002409BE" w:rsidRDefault="002409BE" w:rsidP="002409BE">
      <w:pPr>
        <w:rPr>
          <w:lang w:val="x-none" w:eastAsia="x-none"/>
        </w:rPr>
      </w:pPr>
    </w:p>
    <w:p w:rsidR="00616306" w:rsidRDefault="00616306" w:rsidP="00616306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Jak bylo uvedeno výše. Řešení minimalizace výpadku a rizik s ním spojených vyplynul v požadavek na pořízení </w:t>
      </w:r>
      <w:proofErr w:type="spellStart"/>
      <w:r>
        <w:rPr>
          <w:lang w:val="x-none" w:eastAsia="x-none"/>
        </w:rPr>
        <w:t>virtualizačního</w:t>
      </w:r>
      <w:proofErr w:type="spellEnd"/>
      <w:r>
        <w:rPr>
          <w:lang w:val="x-none" w:eastAsia="x-none"/>
        </w:rPr>
        <w:t xml:space="preserve"> řešení / podpory na dalších 5 let. Celé prostředí je provozování nad produktem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vSphere</w:t>
      </w:r>
      <w:proofErr w:type="spellEnd"/>
      <w:r>
        <w:rPr>
          <w:lang w:val="x-none" w:eastAsia="x-none"/>
        </w:rPr>
        <w:t>. K plné spokojenosti Města Břeclav. Jeho technická výkonnost spolu se správou a stabilitou si plně získala důvěru. Proto studie proveditelnosti obsahuje kapitolu, která systémově řeší provoz prostředí na této technologii na dalších 5 let..</w:t>
      </w:r>
    </w:p>
    <w:p w:rsidR="00344BAC" w:rsidRDefault="00344BAC" w:rsidP="008B3F53">
      <w:pPr>
        <w:rPr>
          <w:lang w:val="x-none" w:eastAsia="x-none"/>
        </w:rPr>
      </w:pPr>
    </w:p>
    <w:p w:rsidR="0079700F" w:rsidRPr="0079700F" w:rsidRDefault="0079700F" w:rsidP="009C07AB">
      <w:pPr>
        <w:pStyle w:val="Nadpis1"/>
      </w:pPr>
      <w:bookmarkStart w:id="25" w:name="_Toc185336417"/>
      <w:r>
        <w:t>Závěr</w:t>
      </w:r>
      <w:r w:rsidR="00970ABC" w:rsidRPr="007B3646">
        <w:rPr>
          <w:lang w:val="cs-CZ"/>
        </w:rPr>
        <w:t xml:space="preserve"> </w:t>
      </w:r>
      <w:r w:rsidR="007B3646">
        <w:rPr>
          <w:lang w:val="cs-CZ"/>
        </w:rPr>
        <w:t xml:space="preserve">+ </w:t>
      </w:r>
      <w:proofErr w:type="spellStart"/>
      <w:r>
        <w:t>Managerské</w:t>
      </w:r>
      <w:proofErr w:type="spellEnd"/>
      <w:r>
        <w:t xml:space="preserve"> shrnutí</w:t>
      </w:r>
      <w:bookmarkEnd w:id="25"/>
    </w:p>
    <w:p w:rsidR="00751AB8" w:rsidRDefault="00751AB8" w:rsidP="0025336D">
      <w:pPr>
        <w:jc w:val="both"/>
        <w:rPr>
          <w:rFonts w:ascii="Calibri" w:hAnsi="Calibri" w:cs="Calibri"/>
          <w:sz w:val="22"/>
          <w:szCs w:val="22"/>
        </w:rPr>
      </w:pPr>
    </w:p>
    <w:p w:rsidR="000F0E71" w:rsidRDefault="00751AB8" w:rsidP="0025336D">
      <w:pPr>
        <w:ind w:firstLine="5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Aktuální stav technologie pro provoz aplikací města Břeclav je koncipován s požadavkem na jejich vysokou dostupnost. Jde o dlouhodobou strategii, kterou </w:t>
      </w:r>
      <w:r w:rsidR="008D2A92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ení třeba měnit. V současné době naopak vyvstává ještě vyšší potřeba pro její podporu. Některé z jejich klíčových částí jsou dnes již za hranicí </w:t>
      </w:r>
      <w:r w:rsidR="000F0E71">
        <w:rPr>
          <w:rFonts w:ascii="Calibri" w:hAnsi="Calibri" w:cs="Calibri"/>
          <w:sz w:val="22"/>
          <w:szCs w:val="22"/>
        </w:rPr>
        <w:t>podpory</w:t>
      </w:r>
      <w:r>
        <w:rPr>
          <w:rFonts w:ascii="Calibri" w:hAnsi="Calibri" w:cs="Calibri"/>
          <w:sz w:val="22"/>
          <w:szCs w:val="22"/>
        </w:rPr>
        <w:t xml:space="preserve"> ze strany výrobce. Jsou již mimo jeho záruku</w:t>
      </w:r>
      <w:r w:rsidR="000F0E71">
        <w:rPr>
          <w:rFonts w:ascii="Calibri" w:hAnsi="Calibri" w:cs="Calibri"/>
          <w:sz w:val="22"/>
          <w:szCs w:val="22"/>
        </w:rPr>
        <w:t xml:space="preserve">. Tento stav u klíčových technologií. Řešení pro ukládání dat. Řešení pro přístup k datům. Část infrastruktury / serverů sloužící pro </w:t>
      </w:r>
      <w:proofErr w:type="spellStart"/>
      <w:r w:rsidR="000F0E71">
        <w:rPr>
          <w:rFonts w:ascii="Calibri" w:hAnsi="Calibri" w:cs="Calibri"/>
          <w:sz w:val="22"/>
          <w:szCs w:val="22"/>
        </w:rPr>
        <w:t>virtualizaci</w:t>
      </w:r>
      <w:proofErr w:type="spellEnd"/>
      <w:r w:rsidR="000F0E71">
        <w:rPr>
          <w:rFonts w:ascii="Calibri" w:hAnsi="Calibri" w:cs="Calibri"/>
          <w:sz w:val="22"/>
          <w:szCs w:val="22"/>
        </w:rPr>
        <w:t xml:space="preserve"> serverů. Pro provoz </w:t>
      </w:r>
      <w:proofErr w:type="spellStart"/>
      <w:r w:rsidR="000F0E71">
        <w:rPr>
          <w:rFonts w:ascii="Calibri" w:hAnsi="Calibri" w:cs="Calibri"/>
          <w:sz w:val="22"/>
          <w:szCs w:val="22"/>
        </w:rPr>
        <w:t>virtualizace</w:t>
      </w:r>
      <w:proofErr w:type="spellEnd"/>
      <w:r w:rsidR="000F0E71">
        <w:rPr>
          <w:rFonts w:ascii="Calibri" w:hAnsi="Calibri" w:cs="Calibri"/>
          <w:sz w:val="22"/>
          <w:szCs w:val="22"/>
        </w:rPr>
        <w:t xml:space="preserve"> serverů a vlastní provoz serverů vlastní město Břeclav starší verze licencí. Jak </w:t>
      </w:r>
      <w:proofErr w:type="spellStart"/>
      <w:r w:rsidR="000F0E71">
        <w:rPr>
          <w:rFonts w:ascii="Calibri" w:hAnsi="Calibri" w:cs="Calibri"/>
          <w:sz w:val="22"/>
          <w:szCs w:val="22"/>
        </w:rPr>
        <w:t>virtualizace</w:t>
      </w:r>
      <w:proofErr w:type="spellEnd"/>
      <w:r w:rsidR="000F0E7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F0E71">
        <w:rPr>
          <w:rFonts w:ascii="Calibri" w:hAnsi="Calibri" w:cs="Calibri"/>
          <w:sz w:val="22"/>
          <w:szCs w:val="22"/>
        </w:rPr>
        <w:t>VMware</w:t>
      </w:r>
      <w:proofErr w:type="spellEnd"/>
      <w:r w:rsidR="000F0E71">
        <w:rPr>
          <w:rFonts w:ascii="Calibri" w:hAnsi="Calibri" w:cs="Calibri"/>
          <w:sz w:val="22"/>
          <w:szCs w:val="22"/>
        </w:rPr>
        <w:t>), tak virtuálních serverů, kde většina aplikací vyžaduje operační systém Microsoft Windows server.</w:t>
      </w:r>
    </w:p>
    <w:p w:rsidR="000F0E71" w:rsidRDefault="000F0E71" w:rsidP="0025336D">
      <w:pPr>
        <w:jc w:val="both"/>
        <w:rPr>
          <w:rFonts w:ascii="Calibri" w:hAnsi="Calibri" w:cs="Calibri"/>
          <w:sz w:val="22"/>
          <w:szCs w:val="22"/>
        </w:rPr>
      </w:pPr>
    </w:p>
    <w:p w:rsidR="000F0E71" w:rsidRDefault="000F0E71" w:rsidP="0025336D">
      <w:pPr>
        <w:ind w:firstLine="5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přípravě technického zadání bylo přistoupeno k závěrům Studie proveditelnosti projektu „Rozvoje služeb </w:t>
      </w:r>
      <w:proofErr w:type="spellStart"/>
      <w:r>
        <w:rPr>
          <w:rFonts w:ascii="Calibri" w:hAnsi="Calibri" w:cs="Calibri"/>
          <w:sz w:val="22"/>
          <w:szCs w:val="22"/>
        </w:rPr>
        <w:t>eGovernmentu</w:t>
      </w:r>
      <w:proofErr w:type="spellEnd"/>
      <w:r>
        <w:rPr>
          <w:rFonts w:ascii="Calibri" w:hAnsi="Calibri" w:cs="Calibri"/>
          <w:sz w:val="22"/>
          <w:szCs w:val="22"/>
        </w:rPr>
        <w:t xml:space="preserve"> města Břeclav a jeho příspěvkových organizací (ORPB) </w:t>
      </w:r>
      <w:r w:rsidR="00062749">
        <w:rPr>
          <w:rFonts w:ascii="Calibri" w:hAnsi="Calibri" w:cs="Calibri"/>
          <w:sz w:val="22"/>
          <w:szCs w:val="22"/>
        </w:rPr>
        <w:t>vypracované v červenci 2023. V jejím návrhu celkového řešení bylo pro potřeby zajištění celého řešení navrhováno investice do několika oblastí HW a systémového SW:</w:t>
      </w:r>
    </w:p>
    <w:p w:rsidR="0025336D" w:rsidRDefault="0025336D" w:rsidP="0025336D">
      <w:pPr>
        <w:jc w:val="both"/>
        <w:rPr>
          <w:rFonts w:ascii="Calibri" w:hAnsi="Calibri" w:cs="Calibri"/>
          <w:sz w:val="22"/>
          <w:szCs w:val="22"/>
        </w:rPr>
      </w:pPr>
    </w:p>
    <w:p w:rsidR="00062749" w:rsidRDefault="00062749" w:rsidP="0025336D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bookmarkStart w:id="26" w:name="_Hlk170068457"/>
      <w:r>
        <w:rPr>
          <w:rFonts w:ascii="Calibri" w:hAnsi="Calibri" w:cs="Calibri"/>
          <w:sz w:val="22"/>
          <w:szCs w:val="22"/>
        </w:rPr>
        <w:t>Diskové řešení</w:t>
      </w:r>
    </w:p>
    <w:bookmarkEnd w:id="26"/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zajištění </w:t>
      </w:r>
      <w:r w:rsidRPr="00062749">
        <w:rPr>
          <w:rFonts w:ascii="Calibri" w:hAnsi="Calibri" w:cs="Calibri"/>
          <w:sz w:val="22"/>
          <w:szCs w:val="22"/>
        </w:rPr>
        <w:t>potřeb</w:t>
      </w:r>
      <w:r>
        <w:rPr>
          <w:rFonts w:ascii="Calibri" w:hAnsi="Calibri" w:cs="Calibri"/>
          <w:sz w:val="22"/>
          <w:szCs w:val="22"/>
        </w:rPr>
        <w:t>y</w:t>
      </w:r>
      <w:r w:rsidRPr="00062749">
        <w:rPr>
          <w:rFonts w:ascii="Calibri" w:hAnsi="Calibri" w:cs="Calibri"/>
          <w:sz w:val="22"/>
          <w:szCs w:val="22"/>
        </w:rPr>
        <w:t xml:space="preserve"> posílení stávajících datových úložišť</w:t>
      </w:r>
      <w:r>
        <w:rPr>
          <w:rFonts w:ascii="Calibri" w:hAnsi="Calibri" w:cs="Calibri"/>
          <w:sz w:val="22"/>
          <w:szCs w:val="22"/>
        </w:rPr>
        <w:t>. To</w:t>
      </w:r>
      <w:r w:rsidRPr="00062749">
        <w:rPr>
          <w:rFonts w:ascii="Calibri" w:hAnsi="Calibri" w:cs="Calibri"/>
          <w:sz w:val="22"/>
          <w:szCs w:val="22"/>
        </w:rPr>
        <w:t xml:space="preserve"> vyplývá zejména z jednoho z cílů projektu, kterým je publikace dat veřejné správy jako Open Data (implementace IS Technické mapy).</w:t>
      </w:r>
    </w:p>
    <w:p w:rsidR="00062749" w:rsidRDefault="00062749" w:rsidP="0006274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Doplnění serverů</w:t>
      </w:r>
    </w:p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62749">
        <w:rPr>
          <w:rFonts w:ascii="Calibri" w:hAnsi="Calibri" w:cs="Calibri"/>
          <w:sz w:val="22"/>
          <w:szCs w:val="22"/>
        </w:rPr>
        <w:t xml:space="preserve">nasazením nových </w:t>
      </w:r>
      <w:proofErr w:type="gramStart"/>
      <w:r w:rsidRPr="00062749">
        <w:rPr>
          <w:rFonts w:ascii="Calibri" w:hAnsi="Calibri" w:cs="Calibri"/>
          <w:sz w:val="22"/>
          <w:szCs w:val="22"/>
        </w:rPr>
        <w:t>serverů s SLA</w:t>
      </w:r>
      <w:proofErr w:type="gramEnd"/>
      <w:r w:rsidRPr="00062749">
        <w:rPr>
          <w:rFonts w:ascii="Calibri" w:hAnsi="Calibri" w:cs="Calibri"/>
          <w:sz w:val="22"/>
          <w:szCs w:val="22"/>
        </w:rPr>
        <w:t xml:space="preserve"> servisní smlouvou bude zaručena garantovaná dostupnost aplikačních a systémových serverů nezbytných pro fungování IS PO</w:t>
      </w:r>
    </w:p>
    <w:p w:rsidR="00062749" w:rsidRDefault="00062749" w:rsidP="0006274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Doplnění aktivních prvků s podporou </w:t>
      </w:r>
      <w:proofErr w:type="spellStart"/>
      <w:r>
        <w:rPr>
          <w:rFonts w:ascii="Calibri" w:hAnsi="Calibri" w:cs="Calibri"/>
          <w:sz w:val="22"/>
          <w:szCs w:val="22"/>
        </w:rPr>
        <w:t>PoE</w:t>
      </w:r>
      <w:proofErr w:type="spellEnd"/>
    </w:p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62749">
        <w:rPr>
          <w:rFonts w:ascii="Calibri" w:hAnsi="Calibri" w:cs="Calibri"/>
          <w:sz w:val="22"/>
          <w:szCs w:val="22"/>
        </w:rPr>
        <w:t>zajištění bezpečné komunikace interních uživatelů správců pro řízení provozu a monitoring dostupnosti IS PO</w:t>
      </w:r>
    </w:p>
    <w:p w:rsidR="00062749" w:rsidRDefault="00062749" w:rsidP="0006274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Licence virtuálního prostředí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</w:p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62749">
        <w:rPr>
          <w:rFonts w:ascii="Calibri" w:hAnsi="Calibri" w:cs="Calibri"/>
          <w:sz w:val="22"/>
          <w:szCs w:val="22"/>
        </w:rPr>
        <w:t xml:space="preserve">upgrade </w:t>
      </w:r>
      <w:proofErr w:type="spellStart"/>
      <w:r w:rsidRPr="00062749">
        <w:rPr>
          <w:rFonts w:ascii="Calibri" w:hAnsi="Calibri" w:cs="Calibri"/>
          <w:sz w:val="22"/>
          <w:szCs w:val="22"/>
        </w:rPr>
        <w:t>VMware</w:t>
      </w:r>
      <w:proofErr w:type="spellEnd"/>
      <w:r w:rsidRPr="00062749">
        <w:rPr>
          <w:rFonts w:ascii="Calibri" w:hAnsi="Calibri" w:cs="Calibri"/>
          <w:sz w:val="22"/>
          <w:szCs w:val="22"/>
        </w:rPr>
        <w:t xml:space="preserve"> na edici </w:t>
      </w:r>
      <w:proofErr w:type="spellStart"/>
      <w:r w:rsidRPr="00062749">
        <w:rPr>
          <w:rFonts w:ascii="Calibri" w:hAnsi="Calibri" w:cs="Calibri"/>
          <w:sz w:val="22"/>
          <w:szCs w:val="22"/>
        </w:rPr>
        <w:t>Enterprise</w:t>
      </w:r>
      <w:proofErr w:type="spellEnd"/>
      <w:r w:rsidRPr="00062749">
        <w:rPr>
          <w:rFonts w:ascii="Calibri" w:hAnsi="Calibri" w:cs="Calibri"/>
          <w:sz w:val="22"/>
          <w:szCs w:val="22"/>
        </w:rPr>
        <w:t xml:space="preserve"> – zrychlení aplikační odezvy IS Portálu občana. Z bezpečnostního a výkonnostního hlediska jde pak o odstranění rizik chyb nasazování a </w:t>
      </w:r>
      <w:proofErr w:type="spellStart"/>
      <w:r w:rsidRPr="00062749">
        <w:rPr>
          <w:rFonts w:ascii="Calibri" w:hAnsi="Calibri" w:cs="Calibri"/>
          <w:sz w:val="22"/>
          <w:szCs w:val="22"/>
        </w:rPr>
        <w:t>škálování</w:t>
      </w:r>
      <w:proofErr w:type="spellEnd"/>
      <w:r w:rsidRPr="00062749">
        <w:rPr>
          <w:rFonts w:ascii="Calibri" w:hAnsi="Calibri" w:cs="Calibri"/>
          <w:sz w:val="22"/>
          <w:szCs w:val="22"/>
        </w:rPr>
        <w:t xml:space="preserve"> virtuálních strojů zajišťujících IS PO v bez výpadkovém provozu, a to důslednou automatizací procesů, tj. funkcí umožněných právě až v edici </w:t>
      </w:r>
      <w:proofErr w:type="spellStart"/>
      <w:r w:rsidRPr="00062749">
        <w:rPr>
          <w:rFonts w:ascii="Calibri" w:hAnsi="Calibri" w:cs="Calibri"/>
          <w:sz w:val="22"/>
          <w:szCs w:val="22"/>
        </w:rPr>
        <w:t>Enterprise</w:t>
      </w:r>
      <w:proofErr w:type="spellEnd"/>
      <w:r w:rsidRPr="00062749">
        <w:rPr>
          <w:rFonts w:ascii="Calibri" w:hAnsi="Calibri" w:cs="Calibri"/>
          <w:sz w:val="22"/>
          <w:szCs w:val="22"/>
        </w:rPr>
        <w:t>.</w:t>
      </w:r>
    </w:p>
    <w:p w:rsidR="00062749" w:rsidRDefault="00062749" w:rsidP="0006274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Licence Microsoft Windows 2022</w:t>
      </w:r>
    </w:p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62749">
        <w:rPr>
          <w:rFonts w:ascii="Calibri" w:hAnsi="Calibri" w:cs="Calibri"/>
          <w:sz w:val="22"/>
          <w:szCs w:val="22"/>
        </w:rPr>
        <w:t>zajištění provozní bezpečnosti serverů podporujících běh Portálu občana</w:t>
      </w:r>
    </w:p>
    <w:p w:rsidR="00062749" w:rsidRDefault="00062749" w:rsidP="0006274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Licence MS Office</w:t>
      </w:r>
    </w:p>
    <w:p w:rsidR="00062749" w:rsidRDefault="00062749" w:rsidP="00062749">
      <w:pPr>
        <w:numPr>
          <w:ilvl w:val="1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062749">
        <w:rPr>
          <w:rFonts w:ascii="Calibri" w:hAnsi="Calibri" w:cs="Calibri"/>
          <w:sz w:val="22"/>
          <w:szCs w:val="22"/>
        </w:rPr>
        <w:t xml:space="preserve">nástroje MS Office se účastní v některých procesech jako důležitý </w:t>
      </w:r>
      <w:proofErr w:type="spellStart"/>
      <w:r w:rsidRPr="00062749">
        <w:rPr>
          <w:rFonts w:ascii="Calibri" w:hAnsi="Calibri" w:cs="Calibri"/>
          <w:sz w:val="22"/>
          <w:szCs w:val="22"/>
        </w:rPr>
        <w:t>middleware</w:t>
      </w:r>
      <w:proofErr w:type="spellEnd"/>
      <w:r w:rsidRPr="00062749">
        <w:rPr>
          <w:rFonts w:ascii="Calibri" w:hAnsi="Calibri" w:cs="Calibri"/>
          <w:sz w:val="22"/>
          <w:szCs w:val="22"/>
        </w:rPr>
        <w:t xml:space="preserve"> – externí aplikační editory při vyřizování požadavků klientů z PO, a to pomocí příloh k elektronickým formulářům či žádostem. Není možné mít neaktuální balík neumožňující čtení/zápis/konverze v reálném čase a bez aktuální podpory výrobce. Přineslo by riziko přerušení v úzkém hrdle procesů, funkcí v agendách a kolaps vlastní digitální služby a ve svém důsledku znemožnění poskytnutí služby klientům.</w:t>
      </w:r>
    </w:p>
    <w:p w:rsidR="00062749" w:rsidRDefault="00B41852" w:rsidP="007B3646">
      <w:pPr>
        <w:pStyle w:val="Nadpis2"/>
      </w:pPr>
      <w:bookmarkStart w:id="27" w:name="_Toc185336418"/>
      <w:proofErr w:type="spellStart"/>
      <w:r>
        <w:rPr>
          <w:lang w:val="cs-CZ"/>
        </w:rPr>
        <w:t>Storage</w:t>
      </w:r>
      <w:proofErr w:type="spellEnd"/>
      <w:r>
        <w:rPr>
          <w:lang w:val="cs-CZ"/>
        </w:rPr>
        <w:t xml:space="preserve"> - </w:t>
      </w:r>
      <w:r w:rsidR="00062749" w:rsidRPr="00062749">
        <w:t>Diskové řešení</w:t>
      </w:r>
      <w:bookmarkEnd w:id="27"/>
    </w:p>
    <w:p w:rsidR="00462AA5" w:rsidRDefault="00462AA5" w:rsidP="00462AA5">
      <w:pPr>
        <w:rPr>
          <w:lang w:val="x-none" w:eastAsia="x-none"/>
        </w:rPr>
      </w:pPr>
    </w:p>
    <w:p w:rsidR="00462AA5" w:rsidRDefault="00462AA5" w:rsidP="00462AA5">
      <w:pPr>
        <w:ind w:firstLine="568"/>
        <w:rPr>
          <w:lang w:val="x-none" w:eastAsia="x-none"/>
        </w:rPr>
      </w:pPr>
      <w:r>
        <w:rPr>
          <w:lang w:val="x-none" w:eastAsia="x-none"/>
        </w:rPr>
        <w:t>Diskové řešení je nejkritičtější technologií infrastruktury. Na jejím celkovém designu jsou závislé všechny provozní aplikace elektronických služeb:</w:t>
      </w:r>
    </w:p>
    <w:p w:rsidR="00462AA5" w:rsidRDefault="00462AA5" w:rsidP="00462AA5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Systémových</w:t>
      </w:r>
    </w:p>
    <w:p w:rsidR="00462AA5" w:rsidRDefault="00462AA5" w:rsidP="00462AA5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Aplikačních</w:t>
      </w:r>
    </w:p>
    <w:p w:rsidR="00462AA5" w:rsidRDefault="00462AA5" w:rsidP="00462AA5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Bezpečnostních</w:t>
      </w:r>
    </w:p>
    <w:p w:rsidR="00462AA5" w:rsidRDefault="00462AA5" w:rsidP="00462AA5">
      <w:pPr>
        <w:numPr>
          <w:ilvl w:val="0"/>
          <w:numId w:val="34"/>
        </w:numPr>
        <w:rPr>
          <w:lang w:val="x-none" w:eastAsia="x-none"/>
        </w:rPr>
      </w:pPr>
      <w:proofErr w:type="spellStart"/>
      <w:r>
        <w:rPr>
          <w:lang w:val="x-none" w:eastAsia="x-none"/>
        </w:rPr>
        <w:t>Disaster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recovery</w:t>
      </w:r>
      <w:proofErr w:type="spellEnd"/>
      <w:r>
        <w:rPr>
          <w:lang w:val="x-none" w:eastAsia="x-none"/>
        </w:rPr>
        <w:t>, pro řešení havarijních situací</w:t>
      </w:r>
    </w:p>
    <w:p w:rsidR="00462AA5" w:rsidRDefault="00462AA5" w:rsidP="00462AA5">
      <w:pPr>
        <w:ind w:firstLine="568"/>
        <w:rPr>
          <w:lang w:val="x-none" w:eastAsia="x-none"/>
        </w:rPr>
      </w:pPr>
      <w:r>
        <w:rPr>
          <w:lang w:val="x-none" w:eastAsia="x-none"/>
        </w:rPr>
        <w:t>Současné řešení, které je provozováno a zajišťuje datový sklad města Břeclav je již mimo podporu výrobce a diskové kapacity již neobsahují rezervní prostor pro potřeby města. Pro další rozvoj je navrženo posílení zakoupením nových diskových polí. S tím, že starší funkční prostředí bude využito pro data ne kritické povahy.</w:t>
      </w:r>
    </w:p>
    <w:p w:rsidR="0025336D" w:rsidRDefault="0025336D" w:rsidP="006C651A">
      <w:pPr>
        <w:ind w:firstLine="568"/>
        <w:rPr>
          <w:lang w:val="x-none" w:eastAsia="x-none"/>
        </w:rPr>
      </w:pPr>
    </w:p>
    <w:p w:rsidR="006C651A" w:rsidRDefault="008D2A92" w:rsidP="006C651A">
      <w:pPr>
        <w:ind w:firstLine="568"/>
        <w:rPr>
          <w:lang w:val="x-none" w:eastAsia="x-none"/>
        </w:rPr>
      </w:pPr>
      <w:r>
        <w:rPr>
          <w:lang w:val="x-none" w:eastAsia="x-none"/>
        </w:rPr>
        <w:t>P</w:t>
      </w:r>
      <w:r w:rsidR="00462AA5">
        <w:rPr>
          <w:lang w:val="x-none" w:eastAsia="x-none"/>
        </w:rPr>
        <w:t>ožadavek na řešení pořízené v “</w:t>
      </w:r>
      <w:r w:rsidR="00462AA5" w:rsidRPr="00462AA5">
        <w:rPr>
          <w:lang w:val="x-none" w:eastAsia="x-none"/>
        </w:rPr>
        <w:t>Projekt</w:t>
      </w:r>
      <w:r w:rsidR="00462AA5">
        <w:rPr>
          <w:lang w:val="x-none" w:eastAsia="x-none"/>
        </w:rPr>
        <w:t>u</w:t>
      </w:r>
      <w:r w:rsidR="00462AA5" w:rsidRPr="00462AA5">
        <w:rPr>
          <w:lang w:val="x-none" w:eastAsia="x-none"/>
        </w:rPr>
        <w:t xml:space="preserve"> rozvoje </w:t>
      </w:r>
      <w:proofErr w:type="spellStart"/>
      <w:r w:rsidR="00462AA5" w:rsidRPr="00462AA5">
        <w:rPr>
          <w:lang w:val="x-none" w:eastAsia="x-none"/>
        </w:rPr>
        <w:t>eGovernmentu</w:t>
      </w:r>
      <w:proofErr w:type="spellEnd"/>
      <w:r w:rsidR="00462AA5">
        <w:rPr>
          <w:lang w:val="x-none" w:eastAsia="x-none"/>
        </w:rPr>
        <w:t>” byl po konzultacích a zkušeností s</w:t>
      </w:r>
      <w:r>
        <w:rPr>
          <w:lang w:val="x-none" w:eastAsia="x-none"/>
        </w:rPr>
        <w:t xml:space="preserve"> provozem současného </w:t>
      </w:r>
      <w:r w:rsidR="00462AA5">
        <w:rPr>
          <w:lang w:val="x-none" w:eastAsia="x-none"/>
        </w:rPr>
        <w:t>řešení</w:t>
      </w:r>
      <w:r w:rsidR="006C651A">
        <w:rPr>
          <w:lang w:val="x-none" w:eastAsia="x-none"/>
        </w:rPr>
        <w:t xml:space="preserve"> definován v podmínkách pro Výběrové řízení.</w:t>
      </w:r>
      <w:r w:rsidR="00462AA5">
        <w:rPr>
          <w:lang w:val="x-none" w:eastAsia="x-none"/>
        </w:rPr>
        <w:t xml:space="preserve"> </w:t>
      </w:r>
      <w:r w:rsidR="006C651A">
        <w:rPr>
          <w:lang w:val="x-none" w:eastAsia="x-none"/>
        </w:rPr>
        <w:t>Jde především o aspekty zachování řešení Metro Cluster IP pro jeho technolo</w:t>
      </w:r>
      <w:r>
        <w:rPr>
          <w:lang w:val="x-none" w:eastAsia="x-none"/>
        </w:rPr>
        <w:t>g</w:t>
      </w:r>
      <w:r w:rsidR="006C651A">
        <w:rPr>
          <w:lang w:val="x-none" w:eastAsia="x-none"/>
        </w:rPr>
        <w:t>ické vlastnosti: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Provoz diskových polí v oddělených lokalitách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Vytvoření datového clusteru se synchronní replikací mezi nimi</w:t>
      </w:r>
    </w:p>
    <w:p w:rsidR="00F05893" w:rsidRDefault="00F05893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Podporu blokového i souborového ukládání dat</w:t>
      </w:r>
    </w:p>
    <w:p w:rsidR="00A725B2" w:rsidRDefault="00A725B2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Podpora virtuálního </w:t>
      </w:r>
      <w:proofErr w:type="spellStart"/>
      <w:r>
        <w:rPr>
          <w:lang w:val="x-none" w:eastAsia="x-none"/>
        </w:rPr>
        <w:t>storage</w:t>
      </w:r>
      <w:proofErr w:type="spellEnd"/>
      <w:r>
        <w:rPr>
          <w:lang w:val="x-none" w:eastAsia="x-none"/>
        </w:rPr>
        <w:t xml:space="preserve"> rozprostřeného přes celá cluster (základní vlastnost Metro Cluster IP)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Ochranou proti poruše minimálně dvou disků v jedné datové struktuře (</w:t>
      </w:r>
      <w:proofErr w:type="spellStart"/>
      <w:r>
        <w:rPr>
          <w:lang w:val="x-none" w:eastAsia="x-none"/>
        </w:rPr>
        <w:t>Raidu</w:t>
      </w:r>
      <w:proofErr w:type="spellEnd"/>
      <w:r>
        <w:rPr>
          <w:lang w:val="x-none" w:eastAsia="x-none"/>
        </w:rPr>
        <w:t>)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Zachování provozu při odstavení jednoho diskového pole vlivem poruchy a to jak vlastního pole, datové komunikace nebo celé lokality bez ztráty výkonu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Zvýšení výkonu proti stávajícímu řešení</w:t>
      </w:r>
    </w:p>
    <w:p w:rsidR="00F05893" w:rsidRDefault="00F05893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Efektivní úložiště dat za použití komprese a </w:t>
      </w:r>
      <w:proofErr w:type="spellStart"/>
      <w:r>
        <w:rPr>
          <w:lang w:val="x-none" w:eastAsia="x-none"/>
        </w:rPr>
        <w:t>deduplikace</w:t>
      </w:r>
      <w:proofErr w:type="spellEnd"/>
      <w:r>
        <w:rPr>
          <w:lang w:val="x-none" w:eastAsia="x-none"/>
        </w:rPr>
        <w:t xml:space="preserve"> za chodu beze ztráty výkonu</w:t>
      </w:r>
    </w:p>
    <w:p w:rsidR="00F05893" w:rsidRDefault="00F05893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 xml:space="preserve">Zároveň je plánováno v rozvoji architektury využívat </w:t>
      </w:r>
      <w:proofErr w:type="spellStart"/>
      <w:r>
        <w:rPr>
          <w:lang w:val="x-none" w:eastAsia="x-none"/>
        </w:rPr>
        <w:t>antimalware</w:t>
      </w:r>
      <w:proofErr w:type="spellEnd"/>
      <w:r>
        <w:rPr>
          <w:lang w:val="x-none" w:eastAsia="x-none"/>
        </w:rPr>
        <w:t xml:space="preserve"> technologie pro souborovou část diskového pole jako dalšího stupně ochrany.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Zvýšení bezpečnosti a zabezpečení dat různými úrovněmi šifrování dat</w:t>
      </w:r>
    </w:p>
    <w:p w:rsidR="00F05893" w:rsidRDefault="00F05893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lastRenderedPageBreak/>
        <w:t xml:space="preserve">Využití snímků na úrovni pole k zajištění zálohování, ale i zabezpečení dat formou </w:t>
      </w:r>
      <w:proofErr w:type="spellStart"/>
      <w:r>
        <w:rPr>
          <w:lang w:val="x-none" w:eastAsia="x-none"/>
        </w:rPr>
        <w:t>read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only</w:t>
      </w:r>
      <w:proofErr w:type="spellEnd"/>
      <w:r>
        <w:rPr>
          <w:lang w:val="x-none" w:eastAsia="x-none"/>
        </w:rPr>
        <w:t xml:space="preserve"> snímků.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Možnost napojení na technologie monitorující provoz s jeho vyhodnocením provozním i bezpečnostním</w:t>
      </w:r>
    </w:p>
    <w:p w:rsidR="006C651A" w:rsidRDefault="006C651A" w:rsidP="006C651A">
      <w:pPr>
        <w:numPr>
          <w:ilvl w:val="0"/>
          <w:numId w:val="34"/>
        </w:numPr>
        <w:rPr>
          <w:lang w:val="x-none" w:eastAsia="x-none"/>
        </w:rPr>
      </w:pPr>
      <w:r>
        <w:rPr>
          <w:lang w:val="x-none" w:eastAsia="x-none"/>
        </w:rPr>
        <w:t>Nasazení minimálně 25Gb IP technologie pro celé SAN řešení</w:t>
      </w:r>
    </w:p>
    <w:p w:rsidR="0025336D" w:rsidRDefault="0025336D" w:rsidP="006C651A">
      <w:pPr>
        <w:rPr>
          <w:lang w:val="x-none" w:eastAsia="x-none"/>
        </w:rPr>
      </w:pPr>
    </w:p>
    <w:p w:rsidR="006C651A" w:rsidRDefault="006C651A" w:rsidP="0025336D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Z výše uvedených podmínek je pro potřeby </w:t>
      </w:r>
      <w:r w:rsidRPr="006C651A">
        <w:rPr>
          <w:lang w:val="x-none" w:eastAsia="x-none"/>
        </w:rPr>
        <w:t xml:space="preserve">“Projektu rozvoje </w:t>
      </w:r>
      <w:proofErr w:type="spellStart"/>
      <w:r w:rsidRPr="006C651A">
        <w:rPr>
          <w:lang w:val="x-none" w:eastAsia="x-none"/>
        </w:rPr>
        <w:t>eGovernmentu</w:t>
      </w:r>
      <w:proofErr w:type="spellEnd"/>
      <w:r w:rsidRPr="006C651A">
        <w:rPr>
          <w:lang w:val="x-none" w:eastAsia="x-none"/>
        </w:rPr>
        <w:t>”</w:t>
      </w:r>
      <w:r>
        <w:rPr>
          <w:lang w:val="x-none" w:eastAsia="x-none"/>
        </w:rPr>
        <w:t xml:space="preserve"> identifikováno řešení </w:t>
      </w:r>
      <w:r w:rsidR="0025336D">
        <w:rPr>
          <w:lang w:val="x-none" w:eastAsia="x-none"/>
        </w:rPr>
        <w:t>již</w:t>
      </w:r>
      <w:r>
        <w:rPr>
          <w:lang w:val="x-none" w:eastAsia="x-none"/>
        </w:rPr>
        <w:t xml:space="preserve"> zmíněného Metro Clusteru IP doplněného o 4 další </w:t>
      </w:r>
      <w:proofErr w:type="spellStart"/>
      <w:r>
        <w:rPr>
          <w:lang w:val="x-none" w:eastAsia="x-none"/>
        </w:rPr>
        <w:t>switche</w:t>
      </w:r>
      <w:proofErr w:type="spellEnd"/>
      <w:r>
        <w:rPr>
          <w:lang w:val="x-none" w:eastAsia="x-none"/>
        </w:rPr>
        <w:t xml:space="preserve"> </w:t>
      </w:r>
      <w:r w:rsidR="00F05893">
        <w:rPr>
          <w:lang w:val="x-none" w:eastAsia="x-none"/>
        </w:rPr>
        <w:t xml:space="preserve">s minimálně 16ti 25Gb porty </w:t>
      </w:r>
      <w:r>
        <w:rPr>
          <w:lang w:val="x-none" w:eastAsia="x-none"/>
        </w:rPr>
        <w:t>pouze pro SAN prostředí zajišťující komunikaci SAN pros</w:t>
      </w:r>
      <w:r w:rsidR="00F05893">
        <w:rPr>
          <w:lang w:val="x-none" w:eastAsia="x-none"/>
        </w:rPr>
        <w:t>tředí.</w:t>
      </w:r>
    </w:p>
    <w:p w:rsidR="0025336D" w:rsidRDefault="0025336D" w:rsidP="00090855">
      <w:pPr>
        <w:ind w:firstLine="568"/>
        <w:rPr>
          <w:lang w:val="x-none" w:eastAsia="x-none"/>
        </w:rPr>
      </w:pPr>
    </w:p>
    <w:p w:rsidR="00090855" w:rsidRDefault="00F05893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Je plánováno nasazení vždy jednoho diskového pole spolu se dvěma SAN </w:t>
      </w:r>
      <w:proofErr w:type="spellStart"/>
      <w:r>
        <w:rPr>
          <w:lang w:val="x-none" w:eastAsia="x-none"/>
        </w:rPr>
        <w:t>switchi</w:t>
      </w:r>
      <w:proofErr w:type="spellEnd"/>
      <w:r>
        <w:rPr>
          <w:lang w:val="x-none" w:eastAsia="x-none"/>
        </w:rPr>
        <w:t xml:space="preserve"> na jednu lokality. Obě lokality jsou propojeny optickými single mode vlákny. P</w:t>
      </w:r>
      <w:r w:rsidR="008D2A92">
        <w:rPr>
          <w:lang w:val="x-none" w:eastAsia="x-none"/>
        </w:rPr>
        <w:t>o</w:t>
      </w:r>
      <w:r>
        <w:rPr>
          <w:lang w:val="x-none" w:eastAsia="x-none"/>
        </w:rPr>
        <w:t xml:space="preserve"> stanovení aktuálních potřeb na velikost datových struktur města na úrovni cca 45TB dat, </w:t>
      </w:r>
      <w:r w:rsidR="008D2A92">
        <w:rPr>
          <w:lang w:val="x-none" w:eastAsia="x-none"/>
        </w:rPr>
        <w:t>je</w:t>
      </w:r>
      <w:r>
        <w:rPr>
          <w:lang w:val="x-none" w:eastAsia="x-none"/>
        </w:rPr>
        <w:t xml:space="preserve"> požadováno pro nové řešení umožnění uložení alespoň 110TiB jako dostatečn</w:t>
      </w:r>
      <w:r w:rsidR="00090855">
        <w:rPr>
          <w:lang w:val="x-none" w:eastAsia="x-none"/>
        </w:rPr>
        <w:t>ou</w:t>
      </w:r>
      <w:r>
        <w:rPr>
          <w:lang w:val="x-none" w:eastAsia="x-none"/>
        </w:rPr>
        <w:t xml:space="preserve"> kapacitu po dobu udržitelnosti projektu.</w:t>
      </w:r>
      <w:r w:rsidR="00090855">
        <w:rPr>
          <w:lang w:val="x-none" w:eastAsia="x-none"/>
        </w:rPr>
        <w:t xml:space="preserve"> </w:t>
      </w:r>
    </w:p>
    <w:p w:rsidR="0025336D" w:rsidRDefault="0025336D" w:rsidP="00090855">
      <w:pPr>
        <w:ind w:firstLine="568"/>
        <w:rPr>
          <w:lang w:val="x-none" w:eastAsia="x-none"/>
        </w:rPr>
      </w:pPr>
    </w:p>
    <w:p w:rsidR="00090855" w:rsidRDefault="00090855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>Zároveň je celé nové řešení pokryto záruční podporou výrobce. Doporučením je zajistit si formou smluvní podpory také provozně konfigurační podporu dodavatele v rozsahu alespoň 16ti hodin měsíčně pro kontrolu, správu a konzultační potřeby zajištění provozu datového prostředí.</w:t>
      </w:r>
    </w:p>
    <w:p w:rsidR="008D2A92" w:rsidRDefault="008D2A92" w:rsidP="00090855">
      <w:pPr>
        <w:ind w:firstLine="568"/>
        <w:rPr>
          <w:lang w:val="x-none" w:eastAsia="x-none"/>
        </w:rPr>
      </w:pPr>
    </w:p>
    <w:p w:rsidR="008D2A92" w:rsidRDefault="008D2A92" w:rsidP="008D2A92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Také byla konzultována řešení, které v budoucnu výrazně zlepší zálohování a obnovu a s tím spojené scénáře Desater </w:t>
      </w:r>
      <w:proofErr w:type="spellStart"/>
      <w:r>
        <w:rPr>
          <w:lang w:val="x-none" w:eastAsia="x-none"/>
        </w:rPr>
        <w:t>Recovery</w:t>
      </w:r>
      <w:proofErr w:type="spellEnd"/>
      <w:r>
        <w:rPr>
          <w:lang w:val="x-none" w:eastAsia="x-none"/>
        </w:rPr>
        <w:t>, kdy Zálohovací produkty vybraných třetích stran mají podporu těchto výrobců. A k zálohám využívá snímky na diskovém poli. Tím méně ovlivňuje výkonnost produkčního prostředí virtuálních serverů. A ještě více odděluje tato prostředí, tím zvyšuje bezpečnost dat. V tomto případě jde o zohlednění dlouhodobější strategie rozvoje IT města Břeclav jako takovou.</w:t>
      </w:r>
    </w:p>
    <w:p w:rsidR="00462AA5" w:rsidRDefault="00462AA5" w:rsidP="007B3646">
      <w:pPr>
        <w:pStyle w:val="Nadpis2"/>
      </w:pPr>
      <w:bookmarkStart w:id="28" w:name="_Toc185336419"/>
      <w:r w:rsidRPr="00462AA5">
        <w:t>Doplnění serverů</w:t>
      </w:r>
      <w:bookmarkEnd w:id="28"/>
    </w:p>
    <w:p w:rsidR="0025336D" w:rsidRDefault="0025336D" w:rsidP="00090855">
      <w:pPr>
        <w:rPr>
          <w:lang w:val="x-none" w:eastAsia="x-none"/>
        </w:rPr>
      </w:pPr>
    </w:p>
    <w:p w:rsidR="00090855" w:rsidRDefault="00090855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Současné prostředí pro </w:t>
      </w:r>
      <w:proofErr w:type="spellStart"/>
      <w:r>
        <w:rPr>
          <w:lang w:val="x-none" w:eastAsia="x-none"/>
        </w:rPr>
        <w:t>virtualizaci</w:t>
      </w:r>
      <w:proofErr w:type="spellEnd"/>
      <w:r>
        <w:rPr>
          <w:lang w:val="x-none" w:eastAsia="x-none"/>
        </w:rPr>
        <w:t xml:space="preserve"> serverů postavené na 5ti serverech je funkční a dosahuje limitu strojového výkonu pro provoz cca 160 virtuálních serverů města. </w:t>
      </w:r>
    </w:p>
    <w:p w:rsidR="00090855" w:rsidRDefault="00090855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Zakoupením nových 3 serverů bude možné vytvořit samostatný cluster s vysokou dostupností. Vyřadit tři nejstarší servery z provozního prostředí. </w:t>
      </w:r>
    </w:p>
    <w:p w:rsidR="0025336D" w:rsidRDefault="0025336D" w:rsidP="00090855">
      <w:pPr>
        <w:ind w:firstLine="568"/>
        <w:rPr>
          <w:lang w:val="x-none" w:eastAsia="x-none"/>
        </w:rPr>
      </w:pPr>
    </w:p>
    <w:p w:rsidR="00090855" w:rsidRDefault="00090855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Za předpokladu, kdy celkový počet fyzických jader celého clusteru bude dvojnásobný proti současnému stavu. 48 jader u současných tří serverů proti 96 jádrům poptávaných poslední generace procesorů. Bude vytvořena strojová rezerva pro výkonnost celého prostředí. Stejně tak i velikost RAM o minimálně 1Tb na server tuto myšlenku podporuje. V synchronizaci s povýšením SAN prostředí na 25Gb technologii jsou i tyto servery vybaveny síťovými kartami s těmito </w:t>
      </w:r>
      <w:proofErr w:type="spellStart"/>
      <w:r>
        <w:rPr>
          <w:lang w:val="x-none" w:eastAsia="x-none"/>
        </w:rPr>
        <w:t>interfacy</w:t>
      </w:r>
      <w:proofErr w:type="spellEnd"/>
      <w:r>
        <w:rPr>
          <w:lang w:val="x-none" w:eastAsia="x-none"/>
        </w:rPr>
        <w:t>.</w:t>
      </w:r>
      <w:r w:rsidR="008D2A92">
        <w:rPr>
          <w:lang w:val="x-none" w:eastAsia="x-none"/>
        </w:rPr>
        <w:t xml:space="preserve"> Tím je také zajištěn předpoklad systémové naplnění implementace a provoz “Projektu rozšíření </w:t>
      </w:r>
      <w:proofErr w:type="spellStart"/>
      <w:r w:rsidR="008D2A92">
        <w:rPr>
          <w:lang w:val="x-none" w:eastAsia="x-none"/>
        </w:rPr>
        <w:t>eGovernmentu</w:t>
      </w:r>
      <w:proofErr w:type="spellEnd"/>
      <w:r w:rsidR="008D2A92">
        <w:rPr>
          <w:lang w:val="x-none" w:eastAsia="x-none"/>
        </w:rPr>
        <w:t>”. Zároveň je tak vytvořen i prostor pro nasazení dalších virtuálních serverů v budoucnu.</w:t>
      </w:r>
    </w:p>
    <w:p w:rsidR="0025336D" w:rsidRDefault="0025336D" w:rsidP="00090855">
      <w:pPr>
        <w:ind w:firstLine="568"/>
        <w:rPr>
          <w:lang w:val="x-none" w:eastAsia="x-none"/>
        </w:rPr>
      </w:pPr>
    </w:p>
    <w:p w:rsidR="00090855" w:rsidRPr="00090855" w:rsidRDefault="00090855" w:rsidP="00090855">
      <w:pPr>
        <w:ind w:firstLine="568"/>
        <w:rPr>
          <w:lang w:val="x-none" w:eastAsia="x-none"/>
        </w:rPr>
      </w:pPr>
      <w:r>
        <w:rPr>
          <w:lang w:val="x-none" w:eastAsia="x-none"/>
        </w:rPr>
        <w:t>Náhradou starých dožívajících serverů (kus za kus) také dojde k zajištění podpory výrobce minimálně po dobu udržitelnosti projektu</w:t>
      </w:r>
    </w:p>
    <w:p w:rsidR="00462AA5" w:rsidRDefault="00462AA5" w:rsidP="007B3646">
      <w:pPr>
        <w:pStyle w:val="Nadpis2"/>
      </w:pPr>
      <w:bookmarkStart w:id="29" w:name="_Toc185336420"/>
      <w:r w:rsidRPr="00462AA5">
        <w:t xml:space="preserve">Doplnění aktivních prvků s podporou </w:t>
      </w:r>
      <w:proofErr w:type="spellStart"/>
      <w:r w:rsidRPr="00462AA5">
        <w:t>PoE</w:t>
      </w:r>
      <w:bookmarkEnd w:id="29"/>
      <w:proofErr w:type="spellEnd"/>
    </w:p>
    <w:p w:rsidR="00DE1EE7" w:rsidRDefault="00DE1EE7" w:rsidP="00DE1EE7">
      <w:pPr>
        <w:rPr>
          <w:lang w:val="x-none" w:eastAsia="x-none"/>
        </w:rPr>
      </w:pPr>
    </w:p>
    <w:p w:rsidR="00DE1EE7" w:rsidRDefault="00DE1EE7" w:rsidP="00DE1EE7">
      <w:pPr>
        <w:rPr>
          <w:rFonts w:ascii="Calibri" w:hAnsi="Calibri" w:cs="Calibri"/>
          <w:sz w:val="22"/>
          <w:szCs w:val="22"/>
        </w:rPr>
      </w:pPr>
      <w:r>
        <w:rPr>
          <w:lang w:val="x-none" w:eastAsia="x-none"/>
        </w:rPr>
        <w:t xml:space="preserve">Jak již bylo uvedeno parametrově jde o </w:t>
      </w:r>
      <w:r w:rsidRPr="00062749">
        <w:rPr>
          <w:rFonts w:ascii="Calibri" w:hAnsi="Calibri" w:cs="Calibri"/>
          <w:sz w:val="22"/>
          <w:szCs w:val="22"/>
        </w:rPr>
        <w:t>zajištění bezpečné komunikace interních uživatelů správců pro řízení provozu a monitoring dostupnosti IS PO</w:t>
      </w:r>
    </w:p>
    <w:p w:rsidR="0025336D" w:rsidRDefault="0025336D" w:rsidP="00DE1EE7">
      <w:pPr>
        <w:rPr>
          <w:rFonts w:ascii="Calibri" w:hAnsi="Calibri" w:cs="Calibri"/>
          <w:sz w:val="22"/>
          <w:szCs w:val="22"/>
        </w:rPr>
      </w:pPr>
    </w:p>
    <w:p w:rsidR="00462AA5" w:rsidRDefault="00462AA5" w:rsidP="007B3646">
      <w:pPr>
        <w:pStyle w:val="Nadpis2"/>
      </w:pPr>
      <w:bookmarkStart w:id="30" w:name="_Toc185336421"/>
      <w:r w:rsidRPr="00462AA5">
        <w:lastRenderedPageBreak/>
        <w:t xml:space="preserve">Licence virtuálního prostředí </w:t>
      </w:r>
      <w:proofErr w:type="spellStart"/>
      <w:r w:rsidRPr="00462AA5">
        <w:t>V</w:t>
      </w:r>
      <w:r w:rsidR="00DE1EE7" w:rsidRPr="00462AA5">
        <w:t>m</w:t>
      </w:r>
      <w:r w:rsidRPr="00462AA5">
        <w:t>ware</w:t>
      </w:r>
      <w:bookmarkEnd w:id="30"/>
      <w:proofErr w:type="spellEnd"/>
    </w:p>
    <w:p w:rsidR="00DE1EE7" w:rsidRDefault="00DE1EE7" w:rsidP="00DE1EE7">
      <w:pPr>
        <w:rPr>
          <w:lang w:val="x-none" w:eastAsia="x-none"/>
        </w:rPr>
      </w:pPr>
    </w:p>
    <w:p w:rsidR="00A725B2" w:rsidRDefault="000873E7" w:rsidP="000873E7">
      <w:pPr>
        <w:ind w:firstLine="568"/>
        <w:rPr>
          <w:lang w:val="x-none" w:eastAsia="x-none"/>
        </w:rPr>
      </w:pPr>
      <w:r>
        <w:rPr>
          <w:lang w:val="x-none" w:eastAsia="x-none"/>
        </w:rPr>
        <w:t>C</w:t>
      </w:r>
      <w:r w:rsidR="00A725B2">
        <w:rPr>
          <w:lang w:val="x-none" w:eastAsia="x-none"/>
        </w:rPr>
        <w:t xml:space="preserve">elé prostředí virtuálních serverů města Břeclav je provozováno na </w:t>
      </w:r>
      <w:proofErr w:type="spellStart"/>
      <w:r w:rsidR="00A725B2">
        <w:rPr>
          <w:lang w:val="x-none" w:eastAsia="x-none"/>
        </w:rPr>
        <w:t>virtualizaci</w:t>
      </w:r>
      <w:proofErr w:type="spellEnd"/>
      <w:r w:rsidR="00A725B2">
        <w:rPr>
          <w:lang w:val="x-none" w:eastAsia="x-none"/>
        </w:rPr>
        <w:t xml:space="preserve"> od společnosti </w:t>
      </w:r>
      <w:proofErr w:type="spellStart"/>
      <w:r w:rsidR="00A725B2">
        <w:rPr>
          <w:lang w:val="x-none" w:eastAsia="x-none"/>
        </w:rPr>
        <w:t>VMware</w:t>
      </w:r>
      <w:proofErr w:type="spellEnd"/>
      <w:r w:rsidR="00A725B2">
        <w:rPr>
          <w:lang w:val="x-none" w:eastAsia="x-none"/>
        </w:rPr>
        <w:t xml:space="preserve">. Po celou dobu </w:t>
      </w:r>
      <w:r>
        <w:rPr>
          <w:lang w:val="x-none" w:eastAsia="x-none"/>
        </w:rPr>
        <w:t>je s tímto řešením spokojenost pro jeho stabil</w:t>
      </w:r>
      <w:r w:rsidR="00F9500C">
        <w:rPr>
          <w:lang w:val="x-none" w:eastAsia="x-none"/>
        </w:rPr>
        <w:t>it</w:t>
      </w:r>
      <w:r>
        <w:rPr>
          <w:lang w:val="x-none" w:eastAsia="x-none"/>
        </w:rPr>
        <w:t>u, výkon škálovatelnost a dobrou úroveň znalostí interního týmu. Nové licence mají nahradit stáv</w:t>
      </w:r>
      <w:r w:rsidR="00F9500C">
        <w:rPr>
          <w:lang w:val="x-none" w:eastAsia="x-none"/>
        </w:rPr>
        <w:t>a</w:t>
      </w:r>
      <w:r>
        <w:rPr>
          <w:lang w:val="x-none" w:eastAsia="x-none"/>
        </w:rPr>
        <w:t>jící v potřebném počtu.</w:t>
      </w:r>
    </w:p>
    <w:p w:rsidR="0025336D" w:rsidRDefault="0025336D" w:rsidP="00A725B2">
      <w:pPr>
        <w:ind w:firstLine="568"/>
        <w:rPr>
          <w:lang w:val="x-none" w:eastAsia="x-none"/>
        </w:rPr>
      </w:pPr>
    </w:p>
    <w:p w:rsidR="00DE1EE7" w:rsidRDefault="00DE1EE7" w:rsidP="00A725B2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Povýšení a podpora výrobce tak jak byla navržena ve Studii proveditelnosti nemůže být realizována. V době vypracování Studie proveditelnosti nebyla k dispozici žádná informace, že dojede k odprodeji výrobce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společnosti </w:t>
      </w:r>
      <w:proofErr w:type="spellStart"/>
      <w:r>
        <w:rPr>
          <w:lang w:val="x-none" w:eastAsia="x-none"/>
        </w:rPr>
        <w:t>Broadcom</w:t>
      </w:r>
      <w:proofErr w:type="spellEnd"/>
      <w:r>
        <w:rPr>
          <w:lang w:val="x-none" w:eastAsia="x-none"/>
        </w:rPr>
        <w:t xml:space="preserve">. K této akvizici došlo na konci roku 2023. S jejími důsledky jsme byli opakovaně konfrontováni při přípravě zadávací dokumentace k VŘ. </w:t>
      </w:r>
    </w:p>
    <w:p w:rsidR="0025336D" w:rsidRDefault="0025336D" w:rsidP="00DE1EE7">
      <w:pPr>
        <w:ind w:firstLine="568"/>
        <w:rPr>
          <w:lang w:val="x-none" w:eastAsia="x-none"/>
        </w:rPr>
      </w:pPr>
    </w:p>
    <w:p w:rsidR="00DE1EE7" w:rsidRDefault="00DE1EE7" w:rsidP="00DE1EE7">
      <w:pPr>
        <w:ind w:firstLine="568"/>
        <w:rPr>
          <w:lang w:val="x-none" w:eastAsia="x-none"/>
        </w:rPr>
      </w:pPr>
      <w:r>
        <w:rPr>
          <w:lang w:val="x-none" w:eastAsia="x-none"/>
        </w:rPr>
        <w:t>Vzhledem k tomu, že došlo k naprosté změně jak produktových řad tak i ke změně licencování. Byli jsme nuceni opakovaně přepracovat rozsah záměru. Hlavní změnou je skutečnost, že již neexistují trvalé licence. Nelicencují se procesory, ale jádra a ceník doznal několika změn, kdy konečné a v tomto roce trvalého znění doznal na konci května 202</w:t>
      </w:r>
      <w:r w:rsidR="00F9500C">
        <w:rPr>
          <w:lang w:val="x-none" w:eastAsia="x-none"/>
        </w:rPr>
        <w:t>4</w:t>
      </w:r>
      <w:r>
        <w:rPr>
          <w:lang w:val="x-none" w:eastAsia="x-none"/>
        </w:rPr>
        <w:t>.</w:t>
      </w:r>
    </w:p>
    <w:p w:rsidR="0025336D" w:rsidRDefault="0025336D" w:rsidP="00DE1EE7">
      <w:pPr>
        <w:ind w:firstLine="568"/>
        <w:rPr>
          <w:lang w:val="x-none" w:eastAsia="x-none"/>
        </w:rPr>
      </w:pPr>
    </w:p>
    <w:p w:rsidR="00DE1EE7" w:rsidRDefault="00DE1EE7" w:rsidP="00DE1EE7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Aktuálně je proto plánováno nasazení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 </w:t>
      </w:r>
      <w:r w:rsidR="0034788E">
        <w:rPr>
          <w:lang w:eastAsia="x-none"/>
        </w:rPr>
        <w:t xml:space="preserve">na všech deset serverů </w:t>
      </w:r>
      <w:r>
        <w:rPr>
          <w:lang w:val="x-none" w:eastAsia="x-none"/>
        </w:rPr>
        <w:t>města Břeclav. Za využití hlavně vysok</w:t>
      </w:r>
      <w:r w:rsidR="00F9500C">
        <w:rPr>
          <w:lang w:val="x-none" w:eastAsia="x-none"/>
        </w:rPr>
        <w:t>é</w:t>
      </w:r>
      <w:r>
        <w:rPr>
          <w:lang w:val="x-none" w:eastAsia="x-none"/>
        </w:rPr>
        <w:t xml:space="preserve"> dostupnosti </w:t>
      </w:r>
      <w:proofErr w:type="spellStart"/>
      <w:r>
        <w:rPr>
          <w:lang w:val="x-none" w:eastAsia="x-none"/>
        </w:rPr>
        <w:t>VMware</w:t>
      </w:r>
      <w:proofErr w:type="spellEnd"/>
      <w:r>
        <w:rPr>
          <w:lang w:val="x-none" w:eastAsia="x-none"/>
        </w:rPr>
        <w:t xml:space="preserve">, konfigurace SAN </w:t>
      </w:r>
      <w:proofErr w:type="spellStart"/>
      <w:r>
        <w:rPr>
          <w:lang w:val="x-none" w:eastAsia="x-none"/>
        </w:rPr>
        <w:t>iSCSI</w:t>
      </w:r>
      <w:proofErr w:type="spellEnd"/>
      <w:r>
        <w:rPr>
          <w:lang w:val="x-none" w:eastAsia="x-none"/>
        </w:rPr>
        <w:t xml:space="preserve">, live </w:t>
      </w:r>
      <w:proofErr w:type="spellStart"/>
      <w:r>
        <w:rPr>
          <w:lang w:val="x-none" w:eastAsia="x-none"/>
        </w:rPr>
        <w:t>motion</w:t>
      </w:r>
      <w:proofErr w:type="spellEnd"/>
      <w:r>
        <w:rPr>
          <w:lang w:val="x-none" w:eastAsia="x-none"/>
        </w:rPr>
        <w:t xml:space="preserve">, live </w:t>
      </w:r>
      <w:proofErr w:type="spellStart"/>
      <w:r>
        <w:rPr>
          <w:lang w:val="x-none" w:eastAsia="x-none"/>
        </w:rPr>
        <w:t>storage</w:t>
      </w:r>
      <w:proofErr w:type="spellEnd"/>
      <w:r>
        <w:rPr>
          <w:lang w:val="x-none" w:eastAsia="x-none"/>
        </w:rPr>
        <w:t xml:space="preserve"> </w:t>
      </w:r>
      <w:proofErr w:type="spellStart"/>
      <w:r>
        <w:rPr>
          <w:lang w:val="x-none" w:eastAsia="x-none"/>
        </w:rPr>
        <w:t>motion</w:t>
      </w:r>
      <w:proofErr w:type="spellEnd"/>
      <w:r>
        <w:rPr>
          <w:lang w:val="x-none" w:eastAsia="x-none"/>
        </w:rPr>
        <w:t xml:space="preserve">, použití </w:t>
      </w:r>
      <w:proofErr w:type="spellStart"/>
      <w:r>
        <w:rPr>
          <w:lang w:val="x-none" w:eastAsia="x-none"/>
        </w:rPr>
        <w:t>vCenter</w:t>
      </w:r>
      <w:proofErr w:type="spellEnd"/>
      <w:r w:rsidR="00F9500C">
        <w:rPr>
          <w:lang w:val="x-none" w:eastAsia="x-none"/>
        </w:rPr>
        <w:t>.</w:t>
      </w:r>
      <w:r>
        <w:rPr>
          <w:lang w:val="x-none" w:eastAsia="x-none"/>
        </w:rPr>
        <w:t xml:space="preserve"> Zároveň i zajištění posledních verzí včetně jejich </w:t>
      </w:r>
      <w:proofErr w:type="spellStart"/>
      <w:r>
        <w:rPr>
          <w:lang w:val="x-none" w:eastAsia="x-none"/>
        </w:rPr>
        <w:t>patchů</w:t>
      </w:r>
      <w:proofErr w:type="spellEnd"/>
      <w:r w:rsidR="00A725B2">
        <w:rPr>
          <w:lang w:val="x-none" w:eastAsia="x-none"/>
        </w:rPr>
        <w:t xml:space="preserve">. A to po celou dobu udržitelnosti projektu. </w:t>
      </w:r>
    </w:p>
    <w:p w:rsidR="0025336D" w:rsidRDefault="0025336D" w:rsidP="00DE1EE7">
      <w:pPr>
        <w:ind w:firstLine="568"/>
        <w:rPr>
          <w:lang w:val="x-none" w:eastAsia="x-none"/>
        </w:rPr>
      </w:pPr>
    </w:p>
    <w:p w:rsidR="0025336D" w:rsidRPr="00512325" w:rsidRDefault="00A725B2" w:rsidP="00E40300">
      <w:pPr>
        <w:ind w:firstLine="568"/>
        <w:rPr>
          <w:lang w:eastAsia="x-none"/>
        </w:rPr>
      </w:pPr>
      <w:r>
        <w:rPr>
          <w:lang w:val="x-none" w:eastAsia="x-none"/>
        </w:rPr>
        <w:t>Jde o pronájem licencí na dobu udržitelnosti projektu. Při cenových testech se z pohledu celkové ceny vlastnictví jevila jako nejvhodnější varianta jednorázového nákupu pronájmu potřebného počtu licencí hned na celou dobu.</w:t>
      </w:r>
    </w:p>
    <w:p w:rsidR="00462AA5" w:rsidRDefault="00462AA5" w:rsidP="007B3646">
      <w:pPr>
        <w:pStyle w:val="Nadpis2"/>
      </w:pPr>
      <w:bookmarkStart w:id="31" w:name="_Toc185336422"/>
      <w:r w:rsidRPr="00462AA5">
        <w:t>Licence Microsoft Windows 2022</w:t>
      </w:r>
      <w:bookmarkEnd w:id="31"/>
    </w:p>
    <w:p w:rsidR="0025336D" w:rsidRDefault="0025336D" w:rsidP="00A725B2">
      <w:pPr>
        <w:rPr>
          <w:lang w:val="x-none" w:eastAsia="x-none"/>
        </w:rPr>
      </w:pPr>
    </w:p>
    <w:p w:rsidR="00A12BF8" w:rsidRDefault="000873E7" w:rsidP="00A12BF8">
      <w:pPr>
        <w:ind w:firstLine="568"/>
        <w:rPr>
          <w:lang w:val="x-none" w:eastAsia="x-none"/>
        </w:rPr>
      </w:pPr>
      <w:r>
        <w:rPr>
          <w:lang w:val="x-none" w:eastAsia="x-none"/>
        </w:rPr>
        <w:t xml:space="preserve">Většina provozovaných aplikací včetně systémových vyžaduje jako operační systém Microsoft server. V průběhu let byly licence pořizovány postupně a prostředí jako takové je provozováno na licencích od Windows server 2012 po Windows server 2022. </w:t>
      </w:r>
    </w:p>
    <w:p w:rsidR="0025336D" w:rsidRDefault="0025336D" w:rsidP="00A12BF8">
      <w:pPr>
        <w:ind w:firstLine="568"/>
        <w:rPr>
          <w:lang w:val="x-none" w:eastAsia="x-none"/>
        </w:rPr>
      </w:pPr>
    </w:p>
    <w:p w:rsidR="000873E7" w:rsidRDefault="00EE6833" w:rsidP="00A12BF8">
      <w:pPr>
        <w:ind w:firstLine="568"/>
        <w:rPr>
          <w:lang w:val="x-none" w:eastAsia="x-none"/>
        </w:rPr>
      </w:pPr>
      <w:r>
        <w:rPr>
          <w:lang w:val="x-none" w:eastAsia="x-none"/>
        </w:rPr>
        <w:t>P</w:t>
      </w:r>
      <w:r w:rsidR="000873E7">
        <w:rPr>
          <w:lang w:val="x-none" w:eastAsia="x-none"/>
        </w:rPr>
        <w:t xml:space="preserve">ro zajištění “Projektu rozvoje </w:t>
      </w:r>
      <w:proofErr w:type="spellStart"/>
      <w:r w:rsidR="000873E7">
        <w:rPr>
          <w:lang w:val="x-none" w:eastAsia="x-none"/>
        </w:rPr>
        <w:t>eGovernementu</w:t>
      </w:r>
      <w:proofErr w:type="spellEnd"/>
      <w:r w:rsidR="000873E7">
        <w:rPr>
          <w:lang w:val="x-none" w:eastAsia="x-none"/>
        </w:rPr>
        <w:t>”</w:t>
      </w:r>
      <w:r w:rsidR="00A12BF8">
        <w:rPr>
          <w:lang w:val="x-none" w:eastAsia="x-none"/>
        </w:rPr>
        <w:t xml:space="preserve"> je nutné po</w:t>
      </w:r>
      <w:r w:rsidR="007D32CE">
        <w:rPr>
          <w:lang w:val="x-none" w:eastAsia="x-none"/>
        </w:rPr>
        <w:t>ř</w:t>
      </w:r>
      <w:r w:rsidR="00A12BF8">
        <w:rPr>
          <w:lang w:val="x-none" w:eastAsia="x-none"/>
        </w:rPr>
        <w:t xml:space="preserve">ídit licence operačního systému Microsoft. Na něm je plánován provoz aplikací “Projektu rozvoje </w:t>
      </w:r>
      <w:proofErr w:type="spellStart"/>
      <w:r w:rsidR="00A12BF8">
        <w:rPr>
          <w:lang w:val="x-none" w:eastAsia="x-none"/>
        </w:rPr>
        <w:t>eGovernmentu</w:t>
      </w:r>
      <w:proofErr w:type="spellEnd"/>
      <w:r w:rsidR="00A12BF8">
        <w:rPr>
          <w:lang w:val="x-none" w:eastAsia="x-none"/>
        </w:rPr>
        <w:t xml:space="preserve">” jak uvažuje Studie proveditelnosti. Zároveň </w:t>
      </w:r>
      <w:r w:rsidR="000873E7">
        <w:rPr>
          <w:lang w:val="x-none" w:eastAsia="x-none"/>
        </w:rPr>
        <w:t>bylo přistoupeno ke sjednocení na poslední ver</w:t>
      </w:r>
      <w:r>
        <w:rPr>
          <w:lang w:val="x-none" w:eastAsia="x-none"/>
        </w:rPr>
        <w:t>zí</w:t>
      </w:r>
      <w:r w:rsidR="000873E7">
        <w:rPr>
          <w:lang w:val="x-none" w:eastAsia="x-none"/>
        </w:rPr>
        <w:t xml:space="preserve"> operačního systému na verzi 2022 v potřebném licencování a potřebných </w:t>
      </w:r>
      <w:r w:rsidR="00A12BF8">
        <w:rPr>
          <w:lang w:val="x-none" w:eastAsia="x-none"/>
        </w:rPr>
        <w:t>počtech</w:t>
      </w:r>
      <w:r w:rsidR="000873E7">
        <w:rPr>
          <w:lang w:val="x-none" w:eastAsia="x-none"/>
        </w:rPr>
        <w:t xml:space="preserve"> a to včetně přístupových licencí.</w:t>
      </w:r>
      <w:r w:rsidR="007D32CE">
        <w:rPr>
          <w:lang w:val="x-none" w:eastAsia="x-none"/>
        </w:rPr>
        <w:t xml:space="preserve"> </w:t>
      </w:r>
      <w:r>
        <w:rPr>
          <w:lang w:val="x-none" w:eastAsia="x-none"/>
        </w:rPr>
        <w:t xml:space="preserve">Toto </w:t>
      </w:r>
      <w:r w:rsidR="007D32CE">
        <w:rPr>
          <w:lang w:val="x-none" w:eastAsia="x-none"/>
        </w:rPr>
        <w:t>je vynucen</w:t>
      </w:r>
      <w:r>
        <w:rPr>
          <w:lang w:val="x-none" w:eastAsia="x-none"/>
        </w:rPr>
        <w:t>o</w:t>
      </w:r>
      <w:r w:rsidR="007D32CE">
        <w:rPr>
          <w:lang w:val="x-none" w:eastAsia="x-none"/>
        </w:rPr>
        <w:t xml:space="preserve"> zajištěním provozu aplikace ve vysoké dostupnosti a zároveň umožňuje dodržet licenční podmínky Microsoftu pro přístup k uživatelů aplikacím provozovaných na serverech s OS Microsoft po celou dobu projektu.</w:t>
      </w:r>
    </w:p>
    <w:p w:rsidR="00A725B2" w:rsidRDefault="00A725B2" w:rsidP="00A725B2">
      <w:pPr>
        <w:rPr>
          <w:lang w:val="x-none" w:eastAsia="x-none"/>
        </w:rPr>
      </w:pPr>
    </w:p>
    <w:p w:rsidR="00462AA5" w:rsidRDefault="00462AA5" w:rsidP="007B3646">
      <w:pPr>
        <w:pStyle w:val="Nadpis2"/>
      </w:pPr>
      <w:bookmarkStart w:id="32" w:name="_Toc185336423"/>
      <w:r w:rsidRPr="00462AA5">
        <w:t>Licence MS Office</w:t>
      </w:r>
      <w:bookmarkEnd w:id="32"/>
    </w:p>
    <w:p w:rsidR="000873E7" w:rsidRDefault="000873E7" w:rsidP="000873E7">
      <w:pPr>
        <w:rPr>
          <w:lang w:val="x-none" w:eastAsia="x-none"/>
        </w:rPr>
      </w:pPr>
    </w:p>
    <w:p w:rsidR="0025336D" w:rsidRDefault="0025336D" w:rsidP="000873E7">
      <w:pPr>
        <w:rPr>
          <w:lang w:val="x-none" w:eastAsia="x-none"/>
        </w:rPr>
      </w:pPr>
    </w:p>
    <w:p w:rsidR="000873E7" w:rsidRDefault="000873E7" w:rsidP="000873E7">
      <w:pPr>
        <w:ind w:firstLine="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062749">
        <w:rPr>
          <w:rFonts w:ascii="Calibri" w:hAnsi="Calibri" w:cs="Calibri"/>
          <w:sz w:val="22"/>
          <w:szCs w:val="22"/>
        </w:rPr>
        <w:t xml:space="preserve">ástroje MS Office se účastní v některých procesech jako důležitý </w:t>
      </w:r>
      <w:proofErr w:type="spellStart"/>
      <w:r w:rsidRPr="00062749">
        <w:rPr>
          <w:rFonts w:ascii="Calibri" w:hAnsi="Calibri" w:cs="Calibri"/>
          <w:sz w:val="22"/>
          <w:szCs w:val="22"/>
        </w:rPr>
        <w:t>middleware</w:t>
      </w:r>
      <w:proofErr w:type="spellEnd"/>
      <w:r w:rsidRPr="00062749">
        <w:rPr>
          <w:rFonts w:ascii="Calibri" w:hAnsi="Calibri" w:cs="Calibri"/>
          <w:sz w:val="22"/>
          <w:szCs w:val="22"/>
        </w:rPr>
        <w:t xml:space="preserve"> – externí aplikační editory při vyřizování požadavků klientů z PO, a to pomocí příloh k elektronickým formulářům či žádostem. Není možné mít neaktuální balík neumožňující čtení/zápis/konverze v reálném čase a bez aktuální podpory výrobce. Přineslo by riziko přerušení v úzkém hrdle procesů, funkcí v agendách a kolaps vlastní digitální služby a ve svém důsledku znemožnění poskytnutí služby klientům.</w:t>
      </w:r>
    </w:p>
    <w:p w:rsidR="000873E7" w:rsidRDefault="000873E7" w:rsidP="000873E7">
      <w:pPr>
        <w:rPr>
          <w:lang w:val="x-none" w:eastAsia="x-none"/>
        </w:rPr>
      </w:pPr>
    </w:p>
    <w:p w:rsidR="000873E7" w:rsidRPr="000873E7" w:rsidRDefault="000873E7" w:rsidP="000873E7">
      <w:pPr>
        <w:rPr>
          <w:lang w:val="x-none" w:eastAsia="x-none"/>
        </w:rPr>
      </w:pPr>
    </w:p>
    <w:sectPr w:rsidR="000873E7" w:rsidRPr="000873E7" w:rsidSect="00FB3148">
      <w:headerReference w:type="default" r:id="rId11"/>
      <w:footerReference w:type="default" r:id="rId12"/>
      <w:pgSz w:w="11906" w:h="16838"/>
      <w:pgMar w:top="1418" w:right="1418" w:bottom="127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276" w:rsidRDefault="00AC6276">
      <w:r>
        <w:separator/>
      </w:r>
    </w:p>
  </w:endnote>
  <w:endnote w:type="continuationSeparator" w:id="0">
    <w:p w:rsidR="00AC6276" w:rsidRDefault="00AC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94" w:rsidRPr="002B5089" w:rsidRDefault="00CA4094" w:rsidP="00BF4FE8">
    <w:pPr>
      <w:pStyle w:val="Zpat"/>
      <w:pBdr>
        <w:top w:val="single" w:sz="6" w:space="1" w:color="auto"/>
      </w:pBdr>
      <w:tabs>
        <w:tab w:val="clear" w:pos="4536"/>
        <w:tab w:val="left" w:pos="1134"/>
      </w:tabs>
      <w:rPr>
        <w:b/>
        <w:bCs/>
        <w:sz w:val="18"/>
        <w:szCs w:val="18"/>
        <w:lang w:val="cs-CZ"/>
      </w:rPr>
    </w:pPr>
    <w:r>
      <w:rPr>
        <w:b/>
        <w:bCs/>
        <w:sz w:val="18"/>
        <w:szCs w:val="18"/>
      </w:rPr>
      <w:t>Kontakty:</w:t>
    </w:r>
    <w:r>
      <w:rPr>
        <w:b/>
        <w:bCs/>
        <w:sz w:val="18"/>
        <w:szCs w:val="18"/>
      </w:rPr>
      <w:tab/>
    </w:r>
    <w:r>
      <w:rPr>
        <w:sz w:val="18"/>
        <w:szCs w:val="18"/>
      </w:rPr>
      <w:t>tel.: +420 724 975 478,</w:t>
    </w:r>
    <w:r>
      <w:rPr>
        <w:sz w:val="18"/>
        <w:szCs w:val="18"/>
      </w:rPr>
      <w:tab/>
    </w:r>
    <w:r>
      <w:rPr>
        <w:b/>
        <w:bCs/>
        <w:sz w:val="18"/>
        <w:szCs w:val="18"/>
      </w:rPr>
      <w:t xml:space="preserve">© </w:t>
    </w:r>
    <w:r>
      <w:rPr>
        <w:b/>
        <w:bCs/>
        <w:sz w:val="18"/>
        <w:szCs w:val="18"/>
        <w:lang w:val="cs-CZ"/>
      </w:rPr>
      <w:t>2024</w:t>
    </w:r>
  </w:p>
  <w:p w:rsidR="00CA4094" w:rsidRPr="00BF4FE8" w:rsidRDefault="00CA4094" w:rsidP="00BF4FE8">
    <w:pPr>
      <w:pStyle w:val="Zpat"/>
      <w:pBdr>
        <w:top w:val="single" w:sz="6" w:space="1" w:color="auto"/>
      </w:pBdr>
      <w:tabs>
        <w:tab w:val="clear" w:pos="4536"/>
        <w:tab w:val="left" w:pos="1134"/>
      </w:tabs>
      <w:jc w:val="right"/>
      <w:rPr>
        <w:sz w:val="18"/>
        <w:szCs w:val="18"/>
      </w:rPr>
    </w:pPr>
    <w:r>
      <w:rPr>
        <w:sz w:val="18"/>
        <w:szCs w:val="18"/>
      </w:rPr>
      <w:tab/>
      <w:t xml:space="preserve">e-mail: </w:t>
    </w:r>
    <w:hyperlink r:id="rId1" w:history="1">
      <w:r w:rsidRPr="00C528D4">
        <w:rPr>
          <w:rStyle w:val="Hypertextovodkaz"/>
          <w:sz w:val="18"/>
          <w:szCs w:val="18"/>
        </w:rPr>
        <w:t>prokop</w:t>
      </w:r>
      <w:r w:rsidRPr="00C528D4">
        <w:rPr>
          <w:rStyle w:val="Hypertextovodkaz"/>
          <w:sz w:val="18"/>
          <w:szCs w:val="18"/>
          <w:lang w:val="en-US"/>
        </w:rPr>
        <w:t>@</w:t>
      </w:r>
      <w:r w:rsidRPr="00C528D4">
        <w:rPr>
          <w:rStyle w:val="Hypertextovodkaz"/>
          <w:sz w:val="18"/>
          <w:szCs w:val="18"/>
          <w:lang w:val="cs-CZ"/>
        </w:rPr>
        <w:t>prokop-it.cz</w:t>
      </w:r>
    </w:hyperlink>
    <w:r>
      <w:rPr>
        <w:sz w:val="18"/>
        <w:szCs w:val="18"/>
      </w:rPr>
      <w:t xml:space="preserve"> , </w:t>
    </w:r>
    <w:hyperlink r:id="rId2" w:history="1">
      <w:r w:rsidRPr="00C528D4">
        <w:rPr>
          <w:rStyle w:val="Hypertextovodkaz"/>
          <w:sz w:val="18"/>
          <w:szCs w:val="18"/>
        </w:rPr>
        <w:t>http://</w:t>
      </w:r>
      <w:r w:rsidRPr="00C528D4">
        <w:rPr>
          <w:rStyle w:val="Hypertextovodkaz"/>
          <w:b/>
          <w:bCs/>
          <w:sz w:val="18"/>
          <w:szCs w:val="18"/>
        </w:rPr>
        <w:t>www.prokop-it.cz</w:t>
      </w:r>
    </w:hyperlink>
    <w:r>
      <w:rPr>
        <w:sz w:val="18"/>
        <w:szCs w:val="18"/>
      </w:rPr>
      <w:tab/>
      <w:t xml:space="preserve">stránka </w:t>
    </w:r>
    <w:r w:rsidRPr="005905F7">
      <w:rPr>
        <w:rStyle w:val="slostrnky"/>
        <w:sz w:val="18"/>
        <w:szCs w:val="18"/>
      </w:rPr>
      <w:fldChar w:fldCharType="begin"/>
    </w:r>
    <w:r w:rsidRPr="005905F7">
      <w:rPr>
        <w:rStyle w:val="slostrnky"/>
        <w:sz w:val="18"/>
        <w:szCs w:val="18"/>
      </w:rPr>
      <w:instrText xml:space="preserve"> PAGE  \* Arabic </w:instrText>
    </w:r>
    <w:r w:rsidRPr="005905F7">
      <w:rPr>
        <w:rStyle w:val="slostrnky"/>
        <w:sz w:val="18"/>
        <w:szCs w:val="18"/>
      </w:rPr>
      <w:fldChar w:fldCharType="separate"/>
    </w:r>
    <w:r w:rsidR="00EC3ECA">
      <w:rPr>
        <w:rStyle w:val="slostrnky"/>
        <w:noProof/>
        <w:sz w:val="18"/>
        <w:szCs w:val="18"/>
      </w:rPr>
      <w:t>5</w:t>
    </w:r>
    <w:r w:rsidRPr="005905F7">
      <w:rPr>
        <w:rStyle w:val="slostrnky"/>
        <w:sz w:val="18"/>
        <w:szCs w:val="18"/>
      </w:rPr>
      <w:fldChar w:fldCharType="end"/>
    </w:r>
    <w:r>
      <w:rPr>
        <w:rStyle w:val="slostrnky"/>
        <w:sz w:val="18"/>
        <w:szCs w:val="18"/>
      </w:rPr>
      <w:t xml:space="preserve"> z </w:t>
    </w:r>
    <w:r w:rsidRPr="005905F7">
      <w:rPr>
        <w:rStyle w:val="slostrnky"/>
        <w:sz w:val="18"/>
        <w:szCs w:val="18"/>
      </w:rPr>
      <w:fldChar w:fldCharType="begin"/>
    </w:r>
    <w:r w:rsidRPr="005905F7">
      <w:rPr>
        <w:rStyle w:val="slostrnky"/>
        <w:sz w:val="18"/>
        <w:szCs w:val="18"/>
      </w:rPr>
      <w:instrText xml:space="preserve"> NUMPAGES </w:instrText>
    </w:r>
    <w:r w:rsidRPr="005905F7">
      <w:rPr>
        <w:rStyle w:val="slostrnky"/>
        <w:sz w:val="18"/>
        <w:szCs w:val="18"/>
      </w:rPr>
      <w:fldChar w:fldCharType="separate"/>
    </w:r>
    <w:r w:rsidR="00EC3ECA">
      <w:rPr>
        <w:rStyle w:val="slostrnky"/>
        <w:noProof/>
        <w:sz w:val="18"/>
        <w:szCs w:val="18"/>
      </w:rPr>
      <w:t>12</w:t>
    </w:r>
    <w:r w:rsidRPr="005905F7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276" w:rsidRDefault="00AC6276">
      <w:r>
        <w:separator/>
      </w:r>
    </w:p>
  </w:footnote>
  <w:footnote w:type="continuationSeparator" w:id="0">
    <w:p w:rsidR="00AC6276" w:rsidRDefault="00AC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94" w:rsidRDefault="00CA4094" w:rsidP="000F1E48">
    <w:pPr>
      <w:pStyle w:val="Zhlav"/>
      <w:jc w:val="center"/>
    </w:pPr>
    <w:r>
      <w:rPr>
        <w:b/>
        <w:bCs/>
      </w:rPr>
      <w:t xml:space="preserve">Ing. Jaroslav Prokop, </w:t>
    </w:r>
    <w:r>
      <w:t>Říčanská 1000/29, 641 00 Brno</w:t>
    </w:r>
  </w:p>
  <w:p w:rsidR="00CA4094" w:rsidRPr="00314159" w:rsidRDefault="00CA4094" w:rsidP="00273C04">
    <w:pPr>
      <w:pStyle w:val="Zhlav"/>
      <w:jc w:val="center"/>
      <w:rPr>
        <w:b/>
        <w:bCs/>
      </w:rPr>
    </w:pPr>
    <w:r>
      <w:rPr>
        <w:b/>
        <w:bCs/>
      </w:rPr>
      <w:t xml:space="preserve">Technická </w:t>
    </w:r>
    <w:r>
      <w:rPr>
        <w:b/>
        <w:bCs/>
        <w:lang w:val="cs-CZ"/>
      </w:rPr>
      <w:t>specifikace</w:t>
    </w:r>
    <w:r>
      <w:rPr>
        <w:b/>
        <w:bCs/>
      </w:rPr>
      <w:t xml:space="preserve"> k</w:t>
    </w:r>
    <w:r w:rsidR="00EC3ECA" w:rsidRPr="00EC3ECA">
      <w:rPr>
        <w:b/>
        <w:bCs/>
      </w:rPr>
      <w:t xml:space="preserve"> veřejné zakázce „Rozvoj služeb </w:t>
    </w:r>
    <w:proofErr w:type="spellStart"/>
    <w:r w:rsidR="00EC3ECA" w:rsidRPr="00EC3ECA">
      <w:rPr>
        <w:b/>
        <w:bCs/>
      </w:rPr>
      <w:t>eGovernmentu</w:t>
    </w:r>
    <w:proofErr w:type="spellEnd"/>
    <w:r w:rsidR="00EC3ECA" w:rsidRPr="00EC3ECA">
      <w:rPr>
        <w:b/>
        <w:bCs/>
      </w:rPr>
      <w:t xml:space="preserve"> města Břeclav – ICT“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83B"/>
    <w:multiLevelType w:val="hybridMultilevel"/>
    <w:tmpl w:val="12AE0CE2"/>
    <w:lvl w:ilvl="0" w:tplc="944217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3027C3"/>
    <w:multiLevelType w:val="multilevel"/>
    <w:tmpl w:val="A4C465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E766B20"/>
    <w:multiLevelType w:val="hybridMultilevel"/>
    <w:tmpl w:val="F3F49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E5EDC"/>
    <w:multiLevelType w:val="multilevel"/>
    <w:tmpl w:val="D21E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28E2"/>
    <w:multiLevelType w:val="hybridMultilevel"/>
    <w:tmpl w:val="380CB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4727"/>
    <w:multiLevelType w:val="multilevel"/>
    <w:tmpl w:val="BAFA9E3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6" w15:restartNumberingAfterBreak="0">
    <w:nsid w:val="16E052B1"/>
    <w:multiLevelType w:val="hybridMultilevel"/>
    <w:tmpl w:val="C3AE9F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165"/>
    <w:multiLevelType w:val="hybridMultilevel"/>
    <w:tmpl w:val="62746E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DE7E48"/>
    <w:multiLevelType w:val="multilevel"/>
    <w:tmpl w:val="B71A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22EAB"/>
    <w:multiLevelType w:val="hybridMultilevel"/>
    <w:tmpl w:val="3B2A494A"/>
    <w:lvl w:ilvl="0" w:tplc="C02609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FB4"/>
    <w:multiLevelType w:val="multilevel"/>
    <w:tmpl w:val="C730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52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242142"/>
    <w:multiLevelType w:val="hybridMultilevel"/>
    <w:tmpl w:val="884676F2"/>
    <w:lvl w:ilvl="0" w:tplc="DC96F72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74269C"/>
    <w:multiLevelType w:val="hybridMultilevel"/>
    <w:tmpl w:val="4F8AD3DC"/>
    <w:lvl w:ilvl="0" w:tplc="4F66750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C564B2"/>
    <w:multiLevelType w:val="hybridMultilevel"/>
    <w:tmpl w:val="B52E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D3660"/>
    <w:multiLevelType w:val="hybridMultilevel"/>
    <w:tmpl w:val="7E9491F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2F1D1C4D"/>
    <w:multiLevelType w:val="multilevel"/>
    <w:tmpl w:val="A4C465E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7" w15:restartNumberingAfterBreak="0">
    <w:nsid w:val="2F366746"/>
    <w:multiLevelType w:val="hybridMultilevel"/>
    <w:tmpl w:val="79425AA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A16D29"/>
    <w:multiLevelType w:val="hybridMultilevel"/>
    <w:tmpl w:val="EE7CBBD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B2258"/>
    <w:multiLevelType w:val="multilevel"/>
    <w:tmpl w:val="CFE0411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0D63563"/>
    <w:multiLevelType w:val="multilevel"/>
    <w:tmpl w:val="A4C4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94C95"/>
    <w:multiLevelType w:val="hybridMultilevel"/>
    <w:tmpl w:val="BAA82D6A"/>
    <w:lvl w:ilvl="0" w:tplc="D60E58A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D392A"/>
    <w:multiLevelType w:val="hybridMultilevel"/>
    <w:tmpl w:val="B1C0BA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897053"/>
    <w:multiLevelType w:val="hybridMultilevel"/>
    <w:tmpl w:val="02641FD8"/>
    <w:lvl w:ilvl="0" w:tplc="040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0751132"/>
    <w:multiLevelType w:val="multilevel"/>
    <w:tmpl w:val="9814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F64BE3"/>
    <w:multiLevelType w:val="hybridMultilevel"/>
    <w:tmpl w:val="F49CB44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0C15D9"/>
    <w:multiLevelType w:val="hybridMultilevel"/>
    <w:tmpl w:val="A446C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32B55"/>
    <w:multiLevelType w:val="hybridMultilevel"/>
    <w:tmpl w:val="599AF27C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D742632"/>
    <w:multiLevelType w:val="hybridMultilevel"/>
    <w:tmpl w:val="11BA8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4F6"/>
    <w:multiLevelType w:val="hybridMultilevel"/>
    <w:tmpl w:val="E5C09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67C8F"/>
    <w:multiLevelType w:val="hybridMultilevel"/>
    <w:tmpl w:val="9F26E1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F0E34"/>
    <w:multiLevelType w:val="hybridMultilevel"/>
    <w:tmpl w:val="082260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8029A2"/>
    <w:multiLevelType w:val="multilevel"/>
    <w:tmpl w:val="A4C465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 w15:restartNumberingAfterBreak="0">
    <w:nsid w:val="621B76D3"/>
    <w:multiLevelType w:val="hybridMultilevel"/>
    <w:tmpl w:val="C47C8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70310"/>
    <w:multiLevelType w:val="hybridMultilevel"/>
    <w:tmpl w:val="830E52C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3CC386A"/>
    <w:multiLevelType w:val="hybridMultilevel"/>
    <w:tmpl w:val="5FCA4C66"/>
    <w:lvl w:ilvl="0" w:tplc="9436587C">
      <w:start w:val="1"/>
      <w:numFmt w:val="bullet"/>
      <w:pStyle w:val="Normln-odrk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FF000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D6F68"/>
    <w:multiLevelType w:val="hybridMultilevel"/>
    <w:tmpl w:val="F3F4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579C"/>
    <w:multiLevelType w:val="hybridMultilevel"/>
    <w:tmpl w:val="908E227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6E56DFA"/>
    <w:multiLevelType w:val="hybridMultilevel"/>
    <w:tmpl w:val="1B387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24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20"/>
    <w:lvlOverride w:ilvl="0">
      <w:startOverride w:val="3"/>
    </w:lvlOverride>
  </w:num>
  <w:num w:numId="8">
    <w:abstractNumId w:val="8"/>
  </w:num>
  <w:num w:numId="9">
    <w:abstractNumId w:val="18"/>
  </w:num>
  <w:num w:numId="10">
    <w:abstractNumId w:val="32"/>
  </w:num>
  <w:num w:numId="11">
    <w:abstractNumId w:val="1"/>
  </w:num>
  <w:num w:numId="12">
    <w:abstractNumId w:val="16"/>
  </w:num>
  <w:num w:numId="13">
    <w:abstractNumId w:val="5"/>
  </w:num>
  <w:num w:numId="14">
    <w:abstractNumId w:val="17"/>
  </w:num>
  <w:num w:numId="15">
    <w:abstractNumId w:val="31"/>
  </w:num>
  <w:num w:numId="16">
    <w:abstractNumId w:val="22"/>
  </w:num>
  <w:num w:numId="17">
    <w:abstractNumId w:val="15"/>
  </w:num>
  <w:num w:numId="18">
    <w:abstractNumId w:val="34"/>
  </w:num>
  <w:num w:numId="19">
    <w:abstractNumId w:val="23"/>
  </w:num>
  <w:num w:numId="20">
    <w:abstractNumId w:val="4"/>
  </w:num>
  <w:num w:numId="21">
    <w:abstractNumId w:val="10"/>
  </w:num>
  <w:num w:numId="22">
    <w:abstractNumId w:val="38"/>
  </w:num>
  <w:num w:numId="23">
    <w:abstractNumId w:val="25"/>
  </w:num>
  <w:num w:numId="24">
    <w:abstractNumId w:val="6"/>
  </w:num>
  <w:num w:numId="25">
    <w:abstractNumId w:val="28"/>
  </w:num>
  <w:num w:numId="26">
    <w:abstractNumId w:val="13"/>
  </w:num>
  <w:num w:numId="27">
    <w:abstractNumId w:val="19"/>
  </w:num>
  <w:num w:numId="28">
    <w:abstractNumId w:val="9"/>
  </w:num>
  <w:num w:numId="29">
    <w:abstractNumId w:val="21"/>
  </w:num>
  <w:num w:numId="30">
    <w:abstractNumId w:val="7"/>
  </w:num>
  <w:num w:numId="31">
    <w:abstractNumId w:val="30"/>
  </w:num>
  <w:num w:numId="32">
    <w:abstractNumId w:val="26"/>
  </w:num>
  <w:num w:numId="33">
    <w:abstractNumId w:val="11"/>
  </w:num>
  <w:num w:numId="34">
    <w:abstractNumId w:val="1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0"/>
  </w:num>
  <w:num w:numId="38">
    <w:abstractNumId w:val="2"/>
  </w:num>
  <w:num w:numId="39">
    <w:abstractNumId w:val="36"/>
  </w:num>
  <w:num w:numId="40">
    <w:abstractNumId w:val="33"/>
  </w:num>
  <w:num w:numId="41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0C"/>
    <w:rsid w:val="00000221"/>
    <w:rsid w:val="00002EDF"/>
    <w:rsid w:val="000040B3"/>
    <w:rsid w:val="0001087E"/>
    <w:rsid w:val="000131D2"/>
    <w:rsid w:val="00013830"/>
    <w:rsid w:val="00017718"/>
    <w:rsid w:val="00023225"/>
    <w:rsid w:val="000241F1"/>
    <w:rsid w:val="00025231"/>
    <w:rsid w:val="000259FE"/>
    <w:rsid w:val="00027D10"/>
    <w:rsid w:val="00031577"/>
    <w:rsid w:val="00035783"/>
    <w:rsid w:val="00035CEB"/>
    <w:rsid w:val="0003611D"/>
    <w:rsid w:val="0003788A"/>
    <w:rsid w:val="00040CA7"/>
    <w:rsid w:val="0004260F"/>
    <w:rsid w:val="00042A49"/>
    <w:rsid w:val="00044A68"/>
    <w:rsid w:val="00046705"/>
    <w:rsid w:val="00046B61"/>
    <w:rsid w:val="00047069"/>
    <w:rsid w:val="000502D7"/>
    <w:rsid w:val="00054E76"/>
    <w:rsid w:val="00054F3A"/>
    <w:rsid w:val="00056DB4"/>
    <w:rsid w:val="000571FB"/>
    <w:rsid w:val="00061B11"/>
    <w:rsid w:val="00062749"/>
    <w:rsid w:val="0006343B"/>
    <w:rsid w:val="00066D51"/>
    <w:rsid w:val="00067FE1"/>
    <w:rsid w:val="00075529"/>
    <w:rsid w:val="000832A2"/>
    <w:rsid w:val="00084427"/>
    <w:rsid w:val="000873E7"/>
    <w:rsid w:val="00087D3B"/>
    <w:rsid w:val="00090855"/>
    <w:rsid w:val="00093EEB"/>
    <w:rsid w:val="00094F4A"/>
    <w:rsid w:val="00095514"/>
    <w:rsid w:val="00095A73"/>
    <w:rsid w:val="0009680B"/>
    <w:rsid w:val="00097178"/>
    <w:rsid w:val="000A2FA2"/>
    <w:rsid w:val="000A4B35"/>
    <w:rsid w:val="000A5355"/>
    <w:rsid w:val="000A6CAF"/>
    <w:rsid w:val="000B0180"/>
    <w:rsid w:val="000B114E"/>
    <w:rsid w:val="000B22F3"/>
    <w:rsid w:val="000B383A"/>
    <w:rsid w:val="000B4457"/>
    <w:rsid w:val="000B5795"/>
    <w:rsid w:val="000B5BCB"/>
    <w:rsid w:val="000C1EAA"/>
    <w:rsid w:val="000C45A7"/>
    <w:rsid w:val="000C5469"/>
    <w:rsid w:val="000C5FA6"/>
    <w:rsid w:val="000C6C2A"/>
    <w:rsid w:val="000C7D58"/>
    <w:rsid w:val="000D007B"/>
    <w:rsid w:val="000D0195"/>
    <w:rsid w:val="000D2489"/>
    <w:rsid w:val="000D29F9"/>
    <w:rsid w:val="000D3C21"/>
    <w:rsid w:val="000D40B4"/>
    <w:rsid w:val="000D5154"/>
    <w:rsid w:val="000D5BAC"/>
    <w:rsid w:val="000D5CA0"/>
    <w:rsid w:val="000D5F3A"/>
    <w:rsid w:val="000D6A4C"/>
    <w:rsid w:val="000E14BD"/>
    <w:rsid w:val="000E2A97"/>
    <w:rsid w:val="000E433C"/>
    <w:rsid w:val="000E4416"/>
    <w:rsid w:val="000E4B57"/>
    <w:rsid w:val="000F0E71"/>
    <w:rsid w:val="000F1E48"/>
    <w:rsid w:val="000F243B"/>
    <w:rsid w:val="000F6C31"/>
    <w:rsid w:val="000F6E9D"/>
    <w:rsid w:val="000F725B"/>
    <w:rsid w:val="0010083D"/>
    <w:rsid w:val="00101335"/>
    <w:rsid w:val="00102C24"/>
    <w:rsid w:val="00104FCD"/>
    <w:rsid w:val="00105D9A"/>
    <w:rsid w:val="0011283C"/>
    <w:rsid w:val="001139C8"/>
    <w:rsid w:val="00115ADE"/>
    <w:rsid w:val="00116097"/>
    <w:rsid w:val="00116B6D"/>
    <w:rsid w:val="001215D2"/>
    <w:rsid w:val="00121712"/>
    <w:rsid w:val="00125A4B"/>
    <w:rsid w:val="00125C92"/>
    <w:rsid w:val="00126CF3"/>
    <w:rsid w:val="00130391"/>
    <w:rsid w:val="00131101"/>
    <w:rsid w:val="0013167F"/>
    <w:rsid w:val="001344F2"/>
    <w:rsid w:val="001420A3"/>
    <w:rsid w:val="00152358"/>
    <w:rsid w:val="0015318C"/>
    <w:rsid w:val="001533B8"/>
    <w:rsid w:val="001543B0"/>
    <w:rsid w:val="00154604"/>
    <w:rsid w:val="001547D7"/>
    <w:rsid w:val="00154E7D"/>
    <w:rsid w:val="00155836"/>
    <w:rsid w:val="001560B1"/>
    <w:rsid w:val="00157FD6"/>
    <w:rsid w:val="0016168F"/>
    <w:rsid w:val="0016181F"/>
    <w:rsid w:val="00162559"/>
    <w:rsid w:val="001630E8"/>
    <w:rsid w:val="00164263"/>
    <w:rsid w:val="00165065"/>
    <w:rsid w:val="00165984"/>
    <w:rsid w:val="00173E4F"/>
    <w:rsid w:val="001742AF"/>
    <w:rsid w:val="0017769F"/>
    <w:rsid w:val="00182E79"/>
    <w:rsid w:val="0018371A"/>
    <w:rsid w:val="0018429C"/>
    <w:rsid w:val="00185DFA"/>
    <w:rsid w:val="00186348"/>
    <w:rsid w:val="00186DF5"/>
    <w:rsid w:val="00190B2D"/>
    <w:rsid w:val="00193B74"/>
    <w:rsid w:val="00195EAA"/>
    <w:rsid w:val="001A1127"/>
    <w:rsid w:val="001A22BD"/>
    <w:rsid w:val="001A5770"/>
    <w:rsid w:val="001B07B5"/>
    <w:rsid w:val="001B2C4A"/>
    <w:rsid w:val="001B3E81"/>
    <w:rsid w:val="001B423D"/>
    <w:rsid w:val="001B44C3"/>
    <w:rsid w:val="001B661C"/>
    <w:rsid w:val="001B6F6E"/>
    <w:rsid w:val="001C1CB6"/>
    <w:rsid w:val="001C1DDE"/>
    <w:rsid w:val="001C1E48"/>
    <w:rsid w:val="001C40F6"/>
    <w:rsid w:val="001C5698"/>
    <w:rsid w:val="001C5C13"/>
    <w:rsid w:val="001D12B4"/>
    <w:rsid w:val="001D3E2C"/>
    <w:rsid w:val="001D63F3"/>
    <w:rsid w:val="001D6872"/>
    <w:rsid w:val="001D7DFF"/>
    <w:rsid w:val="001E1B59"/>
    <w:rsid w:val="001E2C52"/>
    <w:rsid w:val="001E4BCB"/>
    <w:rsid w:val="001E4D52"/>
    <w:rsid w:val="001E5D2A"/>
    <w:rsid w:val="001F0550"/>
    <w:rsid w:val="001F0FED"/>
    <w:rsid w:val="001F1F69"/>
    <w:rsid w:val="001F2DB9"/>
    <w:rsid w:val="001F6232"/>
    <w:rsid w:val="001F6CDD"/>
    <w:rsid w:val="00200135"/>
    <w:rsid w:val="00200A35"/>
    <w:rsid w:val="00202910"/>
    <w:rsid w:val="0020487A"/>
    <w:rsid w:val="00207498"/>
    <w:rsid w:val="0021063A"/>
    <w:rsid w:val="00210F6E"/>
    <w:rsid w:val="0021471A"/>
    <w:rsid w:val="0021618E"/>
    <w:rsid w:val="00216E51"/>
    <w:rsid w:val="00217715"/>
    <w:rsid w:val="00217EDA"/>
    <w:rsid w:val="00221E05"/>
    <w:rsid w:val="00225AEB"/>
    <w:rsid w:val="00227442"/>
    <w:rsid w:val="00227898"/>
    <w:rsid w:val="002279CC"/>
    <w:rsid w:val="00232510"/>
    <w:rsid w:val="002325B5"/>
    <w:rsid w:val="00232EFA"/>
    <w:rsid w:val="00233FCA"/>
    <w:rsid w:val="002352AA"/>
    <w:rsid w:val="002355E9"/>
    <w:rsid w:val="00237482"/>
    <w:rsid w:val="002409BE"/>
    <w:rsid w:val="00243A70"/>
    <w:rsid w:val="0024701A"/>
    <w:rsid w:val="00250142"/>
    <w:rsid w:val="00251AF5"/>
    <w:rsid w:val="0025336D"/>
    <w:rsid w:val="00255551"/>
    <w:rsid w:val="00256F19"/>
    <w:rsid w:val="00257714"/>
    <w:rsid w:val="002617AA"/>
    <w:rsid w:val="002617F3"/>
    <w:rsid w:val="002637C2"/>
    <w:rsid w:val="00270400"/>
    <w:rsid w:val="00271BBF"/>
    <w:rsid w:val="00273051"/>
    <w:rsid w:val="00273C04"/>
    <w:rsid w:val="002762C1"/>
    <w:rsid w:val="002763E4"/>
    <w:rsid w:val="00276FB7"/>
    <w:rsid w:val="00277512"/>
    <w:rsid w:val="0028164C"/>
    <w:rsid w:val="002828FA"/>
    <w:rsid w:val="002832E8"/>
    <w:rsid w:val="0028378D"/>
    <w:rsid w:val="0028523A"/>
    <w:rsid w:val="00287CE9"/>
    <w:rsid w:val="0029549C"/>
    <w:rsid w:val="00295ACA"/>
    <w:rsid w:val="002A1EAF"/>
    <w:rsid w:val="002A39A5"/>
    <w:rsid w:val="002A4CAE"/>
    <w:rsid w:val="002A7AEA"/>
    <w:rsid w:val="002A7BF2"/>
    <w:rsid w:val="002B5089"/>
    <w:rsid w:val="002C1485"/>
    <w:rsid w:val="002C2BAF"/>
    <w:rsid w:val="002C3EEA"/>
    <w:rsid w:val="002C3F6B"/>
    <w:rsid w:val="002C4485"/>
    <w:rsid w:val="002C6108"/>
    <w:rsid w:val="002C63F2"/>
    <w:rsid w:val="002C7721"/>
    <w:rsid w:val="002D3050"/>
    <w:rsid w:val="002D5E62"/>
    <w:rsid w:val="002D77F6"/>
    <w:rsid w:val="002E1067"/>
    <w:rsid w:val="002E2218"/>
    <w:rsid w:val="002E35ED"/>
    <w:rsid w:val="002E45F1"/>
    <w:rsid w:val="002E49EB"/>
    <w:rsid w:val="002F03E8"/>
    <w:rsid w:val="002F2372"/>
    <w:rsid w:val="002F2BB7"/>
    <w:rsid w:val="002F6E93"/>
    <w:rsid w:val="002F7285"/>
    <w:rsid w:val="003003D5"/>
    <w:rsid w:val="00300D34"/>
    <w:rsid w:val="00301E38"/>
    <w:rsid w:val="00302108"/>
    <w:rsid w:val="003035AE"/>
    <w:rsid w:val="00303A54"/>
    <w:rsid w:val="00304F70"/>
    <w:rsid w:val="003059DA"/>
    <w:rsid w:val="00310FDD"/>
    <w:rsid w:val="003112D1"/>
    <w:rsid w:val="00314159"/>
    <w:rsid w:val="003141EB"/>
    <w:rsid w:val="00314505"/>
    <w:rsid w:val="00315D0F"/>
    <w:rsid w:val="00316DDB"/>
    <w:rsid w:val="00316E77"/>
    <w:rsid w:val="0031710F"/>
    <w:rsid w:val="0032158B"/>
    <w:rsid w:val="00322109"/>
    <w:rsid w:val="00323383"/>
    <w:rsid w:val="0032340E"/>
    <w:rsid w:val="003234F7"/>
    <w:rsid w:val="00332FF6"/>
    <w:rsid w:val="003341D0"/>
    <w:rsid w:val="00334B8F"/>
    <w:rsid w:val="00336715"/>
    <w:rsid w:val="00337FCC"/>
    <w:rsid w:val="00340E6C"/>
    <w:rsid w:val="00344080"/>
    <w:rsid w:val="0034494E"/>
    <w:rsid w:val="00344BAC"/>
    <w:rsid w:val="0034788E"/>
    <w:rsid w:val="00353988"/>
    <w:rsid w:val="0035413B"/>
    <w:rsid w:val="00357C8B"/>
    <w:rsid w:val="003632BF"/>
    <w:rsid w:val="00363FB3"/>
    <w:rsid w:val="00364B82"/>
    <w:rsid w:val="003667AA"/>
    <w:rsid w:val="00370E9B"/>
    <w:rsid w:val="0037110C"/>
    <w:rsid w:val="00371578"/>
    <w:rsid w:val="00377C40"/>
    <w:rsid w:val="00381A85"/>
    <w:rsid w:val="00383070"/>
    <w:rsid w:val="00383692"/>
    <w:rsid w:val="003845E4"/>
    <w:rsid w:val="00384897"/>
    <w:rsid w:val="00385600"/>
    <w:rsid w:val="00386757"/>
    <w:rsid w:val="00391F0A"/>
    <w:rsid w:val="0039394E"/>
    <w:rsid w:val="00394FC8"/>
    <w:rsid w:val="003A0492"/>
    <w:rsid w:val="003A28A1"/>
    <w:rsid w:val="003A3F52"/>
    <w:rsid w:val="003A6278"/>
    <w:rsid w:val="003A65D5"/>
    <w:rsid w:val="003A70C4"/>
    <w:rsid w:val="003A7CD5"/>
    <w:rsid w:val="003B151A"/>
    <w:rsid w:val="003B2D57"/>
    <w:rsid w:val="003B31AA"/>
    <w:rsid w:val="003C08ED"/>
    <w:rsid w:val="003C140F"/>
    <w:rsid w:val="003C5464"/>
    <w:rsid w:val="003C5983"/>
    <w:rsid w:val="003D0C8A"/>
    <w:rsid w:val="003D1616"/>
    <w:rsid w:val="003D1D6C"/>
    <w:rsid w:val="003D1E16"/>
    <w:rsid w:val="003D46DB"/>
    <w:rsid w:val="003E3577"/>
    <w:rsid w:val="003E6A9B"/>
    <w:rsid w:val="003F2034"/>
    <w:rsid w:val="003F2DB0"/>
    <w:rsid w:val="003F76B7"/>
    <w:rsid w:val="003F7E31"/>
    <w:rsid w:val="00404BAB"/>
    <w:rsid w:val="004054B8"/>
    <w:rsid w:val="00405C07"/>
    <w:rsid w:val="00406CB8"/>
    <w:rsid w:val="00407FB2"/>
    <w:rsid w:val="00411B49"/>
    <w:rsid w:val="00415E9F"/>
    <w:rsid w:val="00416CA6"/>
    <w:rsid w:val="00420CD1"/>
    <w:rsid w:val="004307DD"/>
    <w:rsid w:val="004317EA"/>
    <w:rsid w:val="004342F6"/>
    <w:rsid w:val="0043551F"/>
    <w:rsid w:val="00435673"/>
    <w:rsid w:val="00436FBF"/>
    <w:rsid w:val="0043706A"/>
    <w:rsid w:val="00437922"/>
    <w:rsid w:val="00443357"/>
    <w:rsid w:val="00444CD5"/>
    <w:rsid w:val="00445F76"/>
    <w:rsid w:val="00450715"/>
    <w:rsid w:val="00452A64"/>
    <w:rsid w:val="00454E95"/>
    <w:rsid w:val="00454F8C"/>
    <w:rsid w:val="00456425"/>
    <w:rsid w:val="00457F7D"/>
    <w:rsid w:val="00457FE7"/>
    <w:rsid w:val="00462709"/>
    <w:rsid w:val="00462AA5"/>
    <w:rsid w:val="00462E28"/>
    <w:rsid w:val="004668B2"/>
    <w:rsid w:val="00470068"/>
    <w:rsid w:val="0047155D"/>
    <w:rsid w:val="00471B08"/>
    <w:rsid w:val="00471D69"/>
    <w:rsid w:val="0047282C"/>
    <w:rsid w:val="004732D7"/>
    <w:rsid w:val="0047331D"/>
    <w:rsid w:val="004768F7"/>
    <w:rsid w:val="004774B8"/>
    <w:rsid w:val="00477DDC"/>
    <w:rsid w:val="004824B7"/>
    <w:rsid w:val="00484926"/>
    <w:rsid w:val="00484D42"/>
    <w:rsid w:val="00490204"/>
    <w:rsid w:val="00490681"/>
    <w:rsid w:val="00490B5A"/>
    <w:rsid w:val="00491806"/>
    <w:rsid w:val="004A291A"/>
    <w:rsid w:val="004A2A7A"/>
    <w:rsid w:val="004A4667"/>
    <w:rsid w:val="004A669F"/>
    <w:rsid w:val="004A66C0"/>
    <w:rsid w:val="004B0A32"/>
    <w:rsid w:val="004B31C3"/>
    <w:rsid w:val="004B3F22"/>
    <w:rsid w:val="004B47DA"/>
    <w:rsid w:val="004B570C"/>
    <w:rsid w:val="004B689A"/>
    <w:rsid w:val="004B6936"/>
    <w:rsid w:val="004B737F"/>
    <w:rsid w:val="004B7984"/>
    <w:rsid w:val="004C06E6"/>
    <w:rsid w:val="004C12C2"/>
    <w:rsid w:val="004C3EF1"/>
    <w:rsid w:val="004C4207"/>
    <w:rsid w:val="004C7C0C"/>
    <w:rsid w:val="004D1CEB"/>
    <w:rsid w:val="004D1E9F"/>
    <w:rsid w:val="004D1FE2"/>
    <w:rsid w:val="004D3AAE"/>
    <w:rsid w:val="004D4406"/>
    <w:rsid w:val="004D52B6"/>
    <w:rsid w:val="004E06C7"/>
    <w:rsid w:val="004E0F42"/>
    <w:rsid w:val="004E2F63"/>
    <w:rsid w:val="004E3124"/>
    <w:rsid w:val="004E44AB"/>
    <w:rsid w:val="004E4B13"/>
    <w:rsid w:val="004E5290"/>
    <w:rsid w:val="004E5E18"/>
    <w:rsid w:val="004E7719"/>
    <w:rsid w:val="004F18AC"/>
    <w:rsid w:val="004F2B97"/>
    <w:rsid w:val="004F3CEF"/>
    <w:rsid w:val="004F4E9F"/>
    <w:rsid w:val="004F5C63"/>
    <w:rsid w:val="004F66E3"/>
    <w:rsid w:val="004F7A21"/>
    <w:rsid w:val="00502C6B"/>
    <w:rsid w:val="005032B9"/>
    <w:rsid w:val="00504768"/>
    <w:rsid w:val="00504FE7"/>
    <w:rsid w:val="00512325"/>
    <w:rsid w:val="0051501A"/>
    <w:rsid w:val="005155DD"/>
    <w:rsid w:val="00517B62"/>
    <w:rsid w:val="00517FD0"/>
    <w:rsid w:val="0052117A"/>
    <w:rsid w:val="00524BBB"/>
    <w:rsid w:val="005273E5"/>
    <w:rsid w:val="005306D1"/>
    <w:rsid w:val="0053073F"/>
    <w:rsid w:val="00537CE0"/>
    <w:rsid w:val="005421F3"/>
    <w:rsid w:val="005424EB"/>
    <w:rsid w:val="00543FEF"/>
    <w:rsid w:val="00544EA4"/>
    <w:rsid w:val="005454E1"/>
    <w:rsid w:val="0054730F"/>
    <w:rsid w:val="005479F1"/>
    <w:rsid w:val="005508E9"/>
    <w:rsid w:val="00551BCD"/>
    <w:rsid w:val="005601A1"/>
    <w:rsid w:val="005610C7"/>
    <w:rsid w:val="005631C9"/>
    <w:rsid w:val="0056408A"/>
    <w:rsid w:val="005643E1"/>
    <w:rsid w:val="00565E89"/>
    <w:rsid w:val="005725AA"/>
    <w:rsid w:val="00573DC5"/>
    <w:rsid w:val="005746AF"/>
    <w:rsid w:val="0057791E"/>
    <w:rsid w:val="00580FE0"/>
    <w:rsid w:val="005835A2"/>
    <w:rsid w:val="0058477D"/>
    <w:rsid w:val="00584A41"/>
    <w:rsid w:val="00585CA3"/>
    <w:rsid w:val="00586786"/>
    <w:rsid w:val="005905F7"/>
    <w:rsid w:val="00594385"/>
    <w:rsid w:val="0059695E"/>
    <w:rsid w:val="005A1A37"/>
    <w:rsid w:val="005A2B02"/>
    <w:rsid w:val="005A45B7"/>
    <w:rsid w:val="005A46C7"/>
    <w:rsid w:val="005A641E"/>
    <w:rsid w:val="005A65F9"/>
    <w:rsid w:val="005A7577"/>
    <w:rsid w:val="005B57E7"/>
    <w:rsid w:val="005B66B4"/>
    <w:rsid w:val="005C0413"/>
    <w:rsid w:val="005C0E97"/>
    <w:rsid w:val="005C1928"/>
    <w:rsid w:val="005C7C1F"/>
    <w:rsid w:val="005D2699"/>
    <w:rsid w:val="005D3B19"/>
    <w:rsid w:val="005D583A"/>
    <w:rsid w:val="005D63FF"/>
    <w:rsid w:val="005D721E"/>
    <w:rsid w:val="005D7DBD"/>
    <w:rsid w:val="005E4B80"/>
    <w:rsid w:val="005E68D3"/>
    <w:rsid w:val="005E6B0F"/>
    <w:rsid w:val="005F02E1"/>
    <w:rsid w:val="005F2E39"/>
    <w:rsid w:val="005F3912"/>
    <w:rsid w:val="005F3F00"/>
    <w:rsid w:val="00601B85"/>
    <w:rsid w:val="0060294E"/>
    <w:rsid w:val="00604D4B"/>
    <w:rsid w:val="00607EB0"/>
    <w:rsid w:val="00610980"/>
    <w:rsid w:val="00610B3B"/>
    <w:rsid w:val="006112FD"/>
    <w:rsid w:val="00615AC6"/>
    <w:rsid w:val="00616306"/>
    <w:rsid w:val="00616929"/>
    <w:rsid w:val="006207AB"/>
    <w:rsid w:val="006207EE"/>
    <w:rsid w:val="00620BB8"/>
    <w:rsid w:val="0062358A"/>
    <w:rsid w:val="0062615C"/>
    <w:rsid w:val="0063049A"/>
    <w:rsid w:val="006314A6"/>
    <w:rsid w:val="00634D55"/>
    <w:rsid w:val="006369DD"/>
    <w:rsid w:val="00640498"/>
    <w:rsid w:val="00641316"/>
    <w:rsid w:val="00644289"/>
    <w:rsid w:val="00644A0D"/>
    <w:rsid w:val="006459F1"/>
    <w:rsid w:val="00650C7A"/>
    <w:rsid w:val="00651168"/>
    <w:rsid w:val="00651935"/>
    <w:rsid w:val="006521CE"/>
    <w:rsid w:val="006534B0"/>
    <w:rsid w:val="006535C1"/>
    <w:rsid w:val="0065405E"/>
    <w:rsid w:val="00654B12"/>
    <w:rsid w:val="006558CD"/>
    <w:rsid w:val="00657476"/>
    <w:rsid w:val="0065748C"/>
    <w:rsid w:val="00657A7A"/>
    <w:rsid w:val="0066516B"/>
    <w:rsid w:val="006719B5"/>
    <w:rsid w:val="006734E9"/>
    <w:rsid w:val="00676797"/>
    <w:rsid w:val="00677EE6"/>
    <w:rsid w:val="00684557"/>
    <w:rsid w:val="00684D41"/>
    <w:rsid w:val="00691F72"/>
    <w:rsid w:val="006924D8"/>
    <w:rsid w:val="0069326C"/>
    <w:rsid w:val="006933B4"/>
    <w:rsid w:val="0069387A"/>
    <w:rsid w:val="00693FD4"/>
    <w:rsid w:val="00694653"/>
    <w:rsid w:val="00696B08"/>
    <w:rsid w:val="00697872"/>
    <w:rsid w:val="00697891"/>
    <w:rsid w:val="006A0CC5"/>
    <w:rsid w:val="006A1FEE"/>
    <w:rsid w:val="006A6506"/>
    <w:rsid w:val="006B31AA"/>
    <w:rsid w:val="006B328E"/>
    <w:rsid w:val="006B5230"/>
    <w:rsid w:val="006C0DD0"/>
    <w:rsid w:val="006C57BC"/>
    <w:rsid w:val="006C58F0"/>
    <w:rsid w:val="006C6031"/>
    <w:rsid w:val="006C61C2"/>
    <w:rsid w:val="006C651A"/>
    <w:rsid w:val="006C6FE4"/>
    <w:rsid w:val="006C7440"/>
    <w:rsid w:val="006D229D"/>
    <w:rsid w:val="006D436C"/>
    <w:rsid w:val="006E09E2"/>
    <w:rsid w:val="006E26D6"/>
    <w:rsid w:val="006E5CDE"/>
    <w:rsid w:val="006E7570"/>
    <w:rsid w:val="006F0094"/>
    <w:rsid w:val="006F0ED1"/>
    <w:rsid w:val="006F3441"/>
    <w:rsid w:val="006F3797"/>
    <w:rsid w:val="006F53D4"/>
    <w:rsid w:val="006F793A"/>
    <w:rsid w:val="0070143F"/>
    <w:rsid w:val="00701A9C"/>
    <w:rsid w:val="007027D6"/>
    <w:rsid w:val="00703FC6"/>
    <w:rsid w:val="007056BE"/>
    <w:rsid w:val="00705C6A"/>
    <w:rsid w:val="007067B1"/>
    <w:rsid w:val="00707014"/>
    <w:rsid w:val="0070711F"/>
    <w:rsid w:val="007076E4"/>
    <w:rsid w:val="0070798E"/>
    <w:rsid w:val="007106F7"/>
    <w:rsid w:val="00714583"/>
    <w:rsid w:val="00716304"/>
    <w:rsid w:val="00717516"/>
    <w:rsid w:val="00720F9F"/>
    <w:rsid w:val="007212DE"/>
    <w:rsid w:val="00721CF3"/>
    <w:rsid w:val="007231B4"/>
    <w:rsid w:val="00723D1D"/>
    <w:rsid w:val="00725D73"/>
    <w:rsid w:val="0072670E"/>
    <w:rsid w:val="007270B1"/>
    <w:rsid w:val="0073157F"/>
    <w:rsid w:val="007343A1"/>
    <w:rsid w:val="0073478D"/>
    <w:rsid w:val="00736A8A"/>
    <w:rsid w:val="00745A10"/>
    <w:rsid w:val="00746E8B"/>
    <w:rsid w:val="00747D55"/>
    <w:rsid w:val="0075149E"/>
    <w:rsid w:val="00751AB8"/>
    <w:rsid w:val="00752D21"/>
    <w:rsid w:val="0075497A"/>
    <w:rsid w:val="00760181"/>
    <w:rsid w:val="00761A3C"/>
    <w:rsid w:val="00763245"/>
    <w:rsid w:val="00765866"/>
    <w:rsid w:val="0076629C"/>
    <w:rsid w:val="0076661C"/>
    <w:rsid w:val="0076688B"/>
    <w:rsid w:val="00767695"/>
    <w:rsid w:val="0076782A"/>
    <w:rsid w:val="007705F6"/>
    <w:rsid w:val="00771D86"/>
    <w:rsid w:val="00774D52"/>
    <w:rsid w:val="00780250"/>
    <w:rsid w:val="00782C3C"/>
    <w:rsid w:val="007830A3"/>
    <w:rsid w:val="007834AB"/>
    <w:rsid w:val="007842FE"/>
    <w:rsid w:val="007853DE"/>
    <w:rsid w:val="00786F26"/>
    <w:rsid w:val="007911AD"/>
    <w:rsid w:val="007930EE"/>
    <w:rsid w:val="00794C21"/>
    <w:rsid w:val="0079700F"/>
    <w:rsid w:val="007A25EF"/>
    <w:rsid w:val="007A33D0"/>
    <w:rsid w:val="007A69F3"/>
    <w:rsid w:val="007A7D13"/>
    <w:rsid w:val="007B1D8C"/>
    <w:rsid w:val="007B3646"/>
    <w:rsid w:val="007B487D"/>
    <w:rsid w:val="007B7496"/>
    <w:rsid w:val="007C140D"/>
    <w:rsid w:val="007C2D23"/>
    <w:rsid w:val="007C6072"/>
    <w:rsid w:val="007C6F08"/>
    <w:rsid w:val="007D0714"/>
    <w:rsid w:val="007D191A"/>
    <w:rsid w:val="007D2EEA"/>
    <w:rsid w:val="007D32CE"/>
    <w:rsid w:val="007D425C"/>
    <w:rsid w:val="007D66A5"/>
    <w:rsid w:val="007D7D0B"/>
    <w:rsid w:val="007E0ED2"/>
    <w:rsid w:val="007E1A72"/>
    <w:rsid w:val="007E3311"/>
    <w:rsid w:val="007E34EE"/>
    <w:rsid w:val="007E57EE"/>
    <w:rsid w:val="007E6AC8"/>
    <w:rsid w:val="007E7F39"/>
    <w:rsid w:val="007F0CE8"/>
    <w:rsid w:val="007F23E2"/>
    <w:rsid w:val="007F2B60"/>
    <w:rsid w:val="007F3D1C"/>
    <w:rsid w:val="007F7AEE"/>
    <w:rsid w:val="007F7C67"/>
    <w:rsid w:val="007F7F82"/>
    <w:rsid w:val="00800C04"/>
    <w:rsid w:val="00800C0F"/>
    <w:rsid w:val="0080137A"/>
    <w:rsid w:val="0080152C"/>
    <w:rsid w:val="0080285A"/>
    <w:rsid w:val="008055AE"/>
    <w:rsid w:val="00806B45"/>
    <w:rsid w:val="00810A66"/>
    <w:rsid w:val="00811A5C"/>
    <w:rsid w:val="008131CD"/>
    <w:rsid w:val="008159E7"/>
    <w:rsid w:val="00815C31"/>
    <w:rsid w:val="00816062"/>
    <w:rsid w:val="008201CA"/>
    <w:rsid w:val="00820345"/>
    <w:rsid w:val="00821A3B"/>
    <w:rsid w:val="008221D9"/>
    <w:rsid w:val="0082264A"/>
    <w:rsid w:val="00824206"/>
    <w:rsid w:val="0082477B"/>
    <w:rsid w:val="008265FB"/>
    <w:rsid w:val="008311A2"/>
    <w:rsid w:val="00831CA8"/>
    <w:rsid w:val="008325DA"/>
    <w:rsid w:val="0083293B"/>
    <w:rsid w:val="008366AC"/>
    <w:rsid w:val="00837E56"/>
    <w:rsid w:val="008407C9"/>
    <w:rsid w:val="00841317"/>
    <w:rsid w:val="00841AA1"/>
    <w:rsid w:val="008434AB"/>
    <w:rsid w:val="0084561F"/>
    <w:rsid w:val="00853237"/>
    <w:rsid w:val="00857ECE"/>
    <w:rsid w:val="00860F0C"/>
    <w:rsid w:val="00861CA3"/>
    <w:rsid w:val="008630A4"/>
    <w:rsid w:val="0086409D"/>
    <w:rsid w:val="00865733"/>
    <w:rsid w:val="00872315"/>
    <w:rsid w:val="0087254C"/>
    <w:rsid w:val="00877FF7"/>
    <w:rsid w:val="0088112B"/>
    <w:rsid w:val="00882A1E"/>
    <w:rsid w:val="00883523"/>
    <w:rsid w:val="0088469B"/>
    <w:rsid w:val="00886287"/>
    <w:rsid w:val="00886B22"/>
    <w:rsid w:val="00891606"/>
    <w:rsid w:val="00891A55"/>
    <w:rsid w:val="00895061"/>
    <w:rsid w:val="00895CE8"/>
    <w:rsid w:val="00896B66"/>
    <w:rsid w:val="00897511"/>
    <w:rsid w:val="008A2237"/>
    <w:rsid w:val="008A55EF"/>
    <w:rsid w:val="008A5E92"/>
    <w:rsid w:val="008A63D6"/>
    <w:rsid w:val="008A64E6"/>
    <w:rsid w:val="008A79ED"/>
    <w:rsid w:val="008B010B"/>
    <w:rsid w:val="008B0E3A"/>
    <w:rsid w:val="008B3F53"/>
    <w:rsid w:val="008B75E4"/>
    <w:rsid w:val="008C1FBA"/>
    <w:rsid w:val="008C2719"/>
    <w:rsid w:val="008C377E"/>
    <w:rsid w:val="008C5D52"/>
    <w:rsid w:val="008C743F"/>
    <w:rsid w:val="008D2A92"/>
    <w:rsid w:val="008D2EA0"/>
    <w:rsid w:val="008D33D6"/>
    <w:rsid w:val="008D3FC0"/>
    <w:rsid w:val="008D4C86"/>
    <w:rsid w:val="008D5E01"/>
    <w:rsid w:val="008E5BD5"/>
    <w:rsid w:val="008E7203"/>
    <w:rsid w:val="008F2D0F"/>
    <w:rsid w:val="008F5D0E"/>
    <w:rsid w:val="00902804"/>
    <w:rsid w:val="00902E32"/>
    <w:rsid w:val="00904AC1"/>
    <w:rsid w:val="009076F0"/>
    <w:rsid w:val="0091096A"/>
    <w:rsid w:val="00911D26"/>
    <w:rsid w:val="00913948"/>
    <w:rsid w:val="009163EA"/>
    <w:rsid w:val="0091714F"/>
    <w:rsid w:val="009216D3"/>
    <w:rsid w:val="00921C92"/>
    <w:rsid w:val="009231CB"/>
    <w:rsid w:val="00925B45"/>
    <w:rsid w:val="00930235"/>
    <w:rsid w:val="00931BC1"/>
    <w:rsid w:val="00931BDB"/>
    <w:rsid w:val="009349FF"/>
    <w:rsid w:val="009367D3"/>
    <w:rsid w:val="00946494"/>
    <w:rsid w:val="00947C9D"/>
    <w:rsid w:val="009508E2"/>
    <w:rsid w:val="00951642"/>
    <w:rsid w:val="0095193D"/>
    <w:rsid w:val="00951F16"/>
    <w:rsid w:val="00951FD0"/>
    <w:rsid w:val="00952022"/>
    <w:rsid w:val="009536D5"/>
    <w:rsid w:val="00954038"/>
    <w:rsid w:val="00954BD9"/>
    <w:rsid w:val="009564E0"/>
    <w:rsid w:val="00962C3D"/>
    <w:rsid w:val="00963CE1"/>
    <w:rsid w:val="00965303"/>
    <w:rsid w:val="00967EAD"/>
    <w:rsid w:val="00970894"/>
    <w:rsid w:val="00970ABC"/>
    <w:rsid w:val="009731CC"/>
    <w:rsid w:val="009736FE"/>
    <w:rsid w:val="009750F9"/>
    <w:rsid w:val="00976DE7"/>
    <w:rsid w:val="009803E9"/>
    <w:rsid w:val="00980A03"/>
    <w:rsid w:val="009821FD"/>
    <w:rsid w:val="00982593"/>
    <w:rsid w:val="00984F93"/>
    <w:rsid w:val="009850FE"/>
    <w:rsid w:val="00985948"/>
    <w:rsid w:val="00985AAD"/>
    <w:rsid w:val="009874A7"/>
    <w:rsid w:val="00987F54"/>
    <w:rsid w:val="00990244"/>
    <w:rsid w:val="00992046"/>
    <w:rsid w:val="00992C33"/>
    <w:rsid w:val="00992F5F"/>
    <w:rsid w:val="00993840"/>
    <w:rsid w:val="0099577C"/>
    <w:rsid w:val="00996FCA"/>
    <w:rsid w:val="009A2764"/>
    <w:rsid w:val="009A312F"/>
    <w:rsid w:val="009A49DF"/>
    <w:rsid w:val="009A4DF6"/>
    <w:rsid w:val="009A7FE7"/>
    <w:rsid w:val="009B0842"/>
    <w:rsid w:val="009B1140"/>
    <w:rsid w:val="009B752D"/>
    <w:rsid w:val="009B7B1E"/>
    <w:rsid w:val="009C41A7"/>
    <w:rsid w:val="009C57D6"/>
    <w:rsid w:val="009D0767"/>
    <w:rsid w:val="009D07DE"/>
    <w:rsid w:val="009D7159"/>
    <w:rsid w:val="009D7B5D"/>
    <w:rsid w:val="009E20EF"/>
    <w:rsid w:val="009E2E6E"/>
    <w:rsid w:val="009E475D"/>
    <w:rsid w:val="009E57C2"/>
    <w:rsid w:val="009E5C55"/>
    <w:rsid w:val="009E79C5"/>
    <w:rsid w:val="009E79CE"/>
    <w:rsid w:val="009F3012"/>
    <w:rsid w:val="009F6F93"/>
    <w:rsid w:val="00A0188D"/>
    <w:rsid w:val="00A01BD9"/>
    <w:rsid w:val="00A02E0F"/>
    <w:rsid w:val="00A03084"/>
    <w:rsid w:val="00A03246"/>
    <w:rsid w:val="00A06B98"/>
    <w:rsid w:val="00A103EB"/>
    <w:rsid w:val="00A11B43"/>
    <w:rsid w:val="00A129B5"/>
    <w:rsid w:val="00A12BF8"/>
    <w:rsid w:val="00A15928"/>
    <w:rsid w:val="00A17E27"/>
    <w:rsid w:val="00A20C3B"/>
    <w:rsid w:val="00A2304B"/>
    <w:rsid w:val="00A23B6C"/>
    <w:rsid w:val="00A30503"/>
    <w:rsid w:val="00A30CF2"/>
    <w:rsid w:val="00A30DAE"/>
    <w:rsid w:val="00A32B1E"/>
    <w:rsid w:val="00A33F54"/>
    <w:rsid w:val="00A37BD4"/>
    <w:rsid w:val="00A40768"/>
    <w:rsid w:val="00A418B6"/>
    <w:rsid w:val="00A44610"/>
    <w:rsid w:val="00A45AF8"/>
    <w:rsid w:val="00A478C4"/>
    <w:rsid w:val="00A50280"/>
    <w:rsid w:val="00A51ED5"/>
    <w:rsid w:val="00A53F39"/>
    <w:rsid w:val="00A61CF3"/>
    <w:rsid w:val="00A63FF6"/>
    <w:rsid w:val="00A64441"/>
    <w:rsid w:val="00A725B2"/>
    <w:rsid w:val="00A74696"/>
    <w:rsid w:val="00A74848"/>
    <w:rsid w:val="00A74BFE"/>
    <w:rsid w:val="00A80078"/>
    <w:rsid w:val="00A80C80"/>
    <w:rsid w:val="00A8143B"/>
    <w:rsid w:val="00A8186E"/>
    <w:rsid w:val="00A846CF"/>
    <w:rsid w:val="00A85634"/>
    <w:rsid w:val="00A91126"/>
    <w:rsid w:val="00A926DC"/>
    <w:rsid w:val="00A931CC"/>
    <w:rsid w:val="00A93B0D"/>
    <w:rsid w:val="00A9468F"/>
    <w:rsid w:val="00A95631"/>
    <w:rsid w:val="00A9794C"/>
    <w:rsid w:val="00AA2783"/>
    <w:rsid w:val="00AA60D0"/>
    <w:rsid w:val="00AA67BE"/>
    <w:rsid w:val="00AA6829"/>
    <w:rsid w:val="00AA6D26"/>
    <w:rsid w:val="00AB228B"/>
    <w:rsid w:val="00AB2DA0"/>
    <w:rsid w:val="00AB5459"/>
    <w:rsid w:val="00AC10AD"/>
    <w:rsid w:val="00AC1C40"/>
    <w:rsid w:val="00AC4548"/>
    <w:rsid w:val="00AC5760"/>
    <w:rsid w:val="00AC6276"/>
    <w:rsid w:val="00AC66B9"/>
    <w:rsid w:val="00AD0BDF"/>
    <w:rsid w:val="00AD3CE0"/>
    <w:rsid w:val="00AD3F45"/>
    <w:rsid w:val="00AD4F79"/>
    <w:rsid w:val="00AD5708"/>
    <w:rsid w:val="00AE0C74"/>
    <w:rsid w:val="00AE3928"/>
    <w:rsid w:val="00AE3947"/>
    <w:rsid w:val="00AE3E1F"/>
    <w:rsid w:val="00AE3F71"/>
    <w:rsid w:val="00AE470B"/>
    <w:rsid w:val="00AE4A93"/>
    <w:rsid w:val="00AE54D2"/>
    <w:rsid w:val="00AE7B33"/>
    <w:rsid w:val="00AF21B9"/>
    <w:rsid w:val="00AF50B6"/>
    <w:rsid w:val="00AF5B80"/>
    <w:rsid w:val="00AF6117"/>
    <w:rsid w:val="00AF6C03"/>
    <w:rsid w:val="00AF6E18"/>
    <w:rsid w:val="00AF718A"/>
    <w:rsid w:val="00B012E5"/>
    <w:rsid w:val="00B020CE"/>
    <w:rsid w:val="00B02BB7"/>
    <w:rsid w:val="00B047EC"/>
    <w:rsid w:val="00B05450"/>
    <w:rsid w:val="00B06190"/>
    <w:rsid w:val="00B061BB"/>
    <w:rsid w:val="00B0708E"/>
    <w:rsid w:val="00B12185"/>
    <w:rsid w:val="00B147AE"/>
    <w:rsid w:val="00B15BC9"/>
    <w:rsid w:val="00B16E77"/>
    <w:rsid w:val="00B20410"/>
    <w:rsid w:val="00B20A12"/>
    <w:rsid w:val="00B229BF"/>
    <w:rsid w:val="00B23077"/>
    <w:rsid w:val="00B23094"/>
    <w:rsid w:val="00B23E76"/>
    <w:rsid w:val="00B24208"/>
    <w:rsid w:val="00B26207"/>
    <w:rsid w:val="00B32BD3"/>
    <w:rsid w:val="00B3411B"/>
    <w:rsid w:val="00B3765C"/>
    <w:rsid w:val="00B41211"/>
    <w:rsid w:val="00B4135A"/>
    <w:rsid w:val="00B41852"/>
    <w:rsid w:val="00B44720"/>
    <w:rsid w:val="00B452A4"/>
    <w:rsid w:val="00B45981"/>
    <w:rsid w:val="00B464A3"/>
    <w:rsid w:val="00B46E01"/>
    <w:rsid w:val="00B46F0B"/>
    <w:rsid w:val="00B47A23"/>
    <w:rsid w:val="00B515B6"/>
    <w:rsid w:val="00B51864"/>
    <w:rsid w:val="00B528B7"/>
    <w:rsid w:val="00B54B88"/>
    <w:rsid w:val="00B562E8"/>
    <w:rsid w:val="00B564A6"/>
    <w:rsid w:val="00B56F18"/>
    <w:rsid w:val="00B56F69"/>
    <w:rsid w:val="00B61890"/>
    <w:rsid w:val="00B63583"/>
    <w:rsid w:val="00B63D6E"/>
    <w:rsid w:val="00B63EF9"/>
    <w:rsid w:val="00B64AAA"/>
    <w:rsid w:val="00B67962"/>
    <w:rsid w:val="00B72FAF"/>
    <w:rsid w:val="00B740FF"/>
    <w:rsid w:val="00B74B43"/>
    <w:rsid w:val="00B81250"/>
    <w:rsid w:val="00B82516"/>
    <w:rsid w:val="00B86BB8"/>
    <w:rsid w:val="00B86E05"/>
    <w:rsid w:val="00B90DD6"/>
    <w:rsid w:val="00BA16E8"/>
    <w:rsid w:val="00BA21CB"/>
    <w:rsid w:val="00BA40E7"/>
    <w:rsid w:val="00BA718B"/>
    <w:rsid w:val="00BB28B1"/>
    <w:rsid w:val="00BB2F2B"/>
    <w:rsid w:val="00BB31AF"/>
    <w:rsid w:val="00BB3882"/>
    <w:rsid w:val="00BB3A92"/>
    <w:rsid w:val="00BB4CCC"/>
    <w:rsid w:val="00BB6B93"/>
    <w:rsid w:val="00BB6C34"/>
    <w:rsid w:val="00BB755A"/>
    <w:rsid w:val="00BC0113"/>
    <w:rsid w:val="00BC0F6D"/>
    <w:rsid w:val="00BC1A10"/>
    <w:rsid w:val="00BC33C0"/>
    <w:rsid w:val="00BC60EF"/>
    <w:rsid w:val="00BC643F"/>
    <w:rsid w:val="00BD03D7"/>
    <w:rsid w:val="00BD51D0"/>
    <w:rsid w:val="00BD66A3"/>
    <w:rsid w:val="00BE0EA9"/>
    <w:rsid w:val="00BE0EBB"/>
    <w:rsid w:val="00BE24E2"/>
    <w:rsid w:val="00BE44B8"/>
    <w:rsid w:val="00BE6D73"/>
    <w:rsid w:val="00BE7850"/>
    <w:rsid w:val="00BE79E6"/>
    <w:rsid w:val="00BF0ED3"/>
    <w:rsid w:val="00BF337B"/>
    <w:rsid w:val="00BF3DB1"/>
    <w:rsid w:val="00BF4FE8"/>
    <w:rsid w:val="00BF6424"/>
    <w:rsid w:val="00BF7BE0"/>
    <w:rsid w:val="00C04674"/>
    <w:rsid w:val="00C04BF5"/>
    <w:rsid w:val="00C07E14"/>
    <w:rsid w:val="00C12368"/>
    <w:rsid w:val="00C12D1B"/>
    <w:rsid w:val="00C1347F"/>
    <w:rsid w:val="00C13668"/>
    <w:rsid w:val="00C143B1"/>
    <w:rsid w:val="00C15E5E"/>
    <w:rsid w:val="00C170B1"/>
    <w:rsid w:val="00C27EE2"/>
    <w:rsid w:val="00C3394C"/>
    <w:rsid w:val="00C37CB4"/>
    <w:rsid w:val="00C37ECA"/>
    <w:rsid w:val="00C406CB"/>
    <w:rsid w:val="00C40DB8"/>
    <w:rsid w:val="00C415D9"/>
    <w:rsid w:val="00C41792"/>
    <w:rsid w:val="00C41BB1"/>
    <w:rsid w:val="00C41ED8"/>
    <w:rsid w:val="00C42DD1"/>
    <w:rsid w:val="00C440F9"/>
    <w:rsid w:val="00C444E8"/>
    <w:rsid w:val="00C46DF4"/>
    <w:rsid w:val="00C506BC"/>
    <w:rsid w:val="00C525A6"/>
    <w:rsid w:val="00C532A0"/>
    <w:rsid w:val="00C53D2C"/>
    <w:rsid w:val="00C54E63"/>
    <w:rsid w:val="00C56E41"/>
    <w:rsid w:val="00C57674"/>
    <w:rsid w:val="00C57991"/>
    <w:rsid w:val="00C57EBF"/>
    <w:rsid w:val="00C61338"/>
    <w:rsid w:val="00C6273F"/>
    <w:rsid w:val="00C6461D"/>
    <w:rsid w:val="00C65F6D"/>
    <w:rsid w:val="00C665D8"/>
    <w:rsid w:val="00C71FC1"/>
    <w:rsid w:val="00C74ABF"/>
    <w:rsid w:val="00C80EA5"/>
    <w:rsid w:val="00C8169F"/>
    <w:rsid w:val="00C84F6D"/>
    <w:rsid w:val="00C85385"/>
    <w:rsid w:val="00C862F2"/>
    <w:rsid w:val="00C908CA"/>
    <w:rsid w:val="00C90918"/>
    <w:rsid w:val="00C912D1"/>
    <w:rsid w:val="00C914D6"/>
    <w:rsid w:val="00C91BB9"/>
    <w:rsid w:val="00C93FD6"/>
    <w:rsid w:val="00C94F61"/>
    <w:rsid w:val="00C95263"/>
    <w:rsid w:val="00C955A4"/>
    <w:rsid w:val="00C979A1"/>
    <w:rsid w:val="00CA4094"/>
    <w:rsid w:val="00CB0CFB"/>
    <w:rsid w:val="00CB754F"/>
    <w:rsid w:val="00CC0ADE"/>
    <w:rsid w:val="00CC1242"/>
    <w:rsid w:val="00CC2A3C"/>
    <w:rsid w:val="00CC3803"/>
    <w:rsid w:val="00CC414E"/>
    <w:rsid w:val="00CC520F"/>
    <w:rsid w:val="00CC6E0C"/>
    <w:rsid w:val="00CD1E88"/>
    <w:rsid w:val="00CD27D0"/>
    <w:rsid w:val="00CD57C3"/>
    <w:rsid w:val="00CD7239"/>
    <w:rsid w:val="00CE3DD9"/>
    <w:rsid w:val="00CF06D8"/>
    <w:rsid w:val="00CF110D"/>
    <w:rsid w:val="00CF15CC"/>
    <w:rsid w:val="00CF4B8D"/>
    <w:rsid w:val="00CF790D"/>
    <w:rsid w:val="00D00485"/>
    <w:rsid w:val="00D00A84"/>
    <w:rsid w:val="00D01BFC"/>
    <w:rsid w:val="00D020A3"/>
    <w:rsid w:val="00D07CB6"/>
    <w:rsid w:val="00D10E54"/>
    <w:rsid w:val="00D11733"/>
    <w:rsid w:val="00D11C09"/>
    <w:rsid w:val="00D12917"/>
    <w:rsid w:val="00D12F6D"/>
    <w:rsid w:val="00D158C8"/>
    <w:rsid w:val="00D22496"/>
    <w:rsid w:val="00D22678"/>
    <w:rsid w:val="00D226B5"/>
    <w:rsid w:val="00D27D0D"/>
    <w:rsid w:val="00D27E13"/>
    <w:rsid w:val="00D32FC6"/>
    <w:rsid w:val="00D333B5"/>
    <w:rsid w:val="00D35FBA"/>
    <w:rsid w:val="00D44B83"/>
    <w:rsid w:val="00D455CF"/>
    <w:rsid w:val="00D47261"/>
    <w:rsid w:val="00D50245"/>
    <w:rsid w:val="00D50BC6"/>
    <w:rsid w:val="00D536A7"/>
    <w:rsid w:val="00D542F9"/>
    <w:rsid w:val="00D57053"/>
    <w:rsid w:val="00D57E1E"/>
    <w:rsid w:val="00D61CA0"/>
    <w:rsid w:val="00D6210B"/>
    <w:rsid w:val="00D62653"/>
    <w:rsid w:val="00D63676"/>
    <w:rsid w:val="00D6442E"/>
    <w:rsid w:val="00D6447A"/>
    <w:rsid w:val="00D6489C"/>
    <w:rsid w:val="00D64B85"/>
    <w:rsid w:val="00D66895"/>
    <w:rsid w:val="00D66AED"/>
    <w:rsid w:val="00D66BF3"/>
    <w:rsid w:val="00D70DDA"/>
    <w:rsid w:val="00D71AA5"/>
    <w:rsid w:val="00D758E1"/>
    <w:rsid w:val="00D80E98"/>
    <w:rsid w:val="00D82CFA"/>
    <w:rsid w:val="00D86B8E"/>
    <w:rsid w:val="00D90B5F"/>
    <w:rsid w:val="00D94392"/>
    <w:rsid w:val="00D953CE"/>
    <w:rsid w:val="00D96CDF"/>
    <w:rsid w:val="00DA0C4D"/>
    <w:rsid w:val="00DA1B7D"/>
    <w:rsid w:val="00DB1B49"/>
    <w:rsid w:val="00DB2785"/>
    <w:rsid w:val="00DB49BB"/>
    <w:rsid w:val="00DB632D"/>
    <w:rsid w:val="00DB63B6"/>
    <w:rsid w:val="00DC3F25"/>
    <w:rsid w:val="00DC4458"/>
    <w:rsid w:val="00DC4E28"/>
    <w:rsid w:val="00DD1072"/>
    <w:rsid w:val="00DD2BA5"/>
    <w:rsid w:val="00DD3AE1"/>
    <w:rsid w:val="00DD3B22"/>
    <w:rsid w:val="00DD4071"/>
    <w:rsid w:val="00DD4236"/>
    <w:rsid w:val="00DD62E2"/>
    <w:rsid w:val="00DE1CF1"/>
    <w:rsid w:val="00DE1EE7"/>
    <w:rsid w:val="00DE2F02"/>
    <w:rsid w:val="00DE5108"/>
    <w:rsid w:val="00DE5611"/>
    <w:rsid w:val="00DE77D1"/>
    <w:rsid w:val="00DF0295"/>
    <w:rsid w:val="00DF046D"/>
    <w:rsid w:val="00DF1F02"/>
    <w:rsid w:val="00DF30F4"/>
    <w:rsid w:val="00DF37A2"/>
    <w:rsid w:val="00DF4BA0"/>
    <w:rsid w:val="00DF5FB0"/>
    <w:rsid w:val="00DF61A2"/>
    <w:rsid w:val="00E00ECC"/>
    <w:rsid w:val="00E03737"/>
    <w:rsid w:val="00E03DD5"/>
    <w:rsid w:val="00E04889"/>
    <w:rsid w:val="00E05EE3"/>
    <w:rsid w:val="00E104A7"/>
    <w:rsid w:val="00E11811"/>
    <w:rsid w:val="00E11C8C"/>
    <w:rsid w:val="00E11CB7"/>
    <w:rsid w:val="00E14EDF"/>
    <w:rsid w:val="00E25330"/>
    <w:rsid w:val="00E2571C"/>
    <w:rsid w:val="00E31B70"/>
    <w:rsid w:val="00E3495E"/>
    <w:rsid w:val="00E37FB3"/>
    <w:rsid w:val="00E40300"/>
    <w:rsid w:val="00E4386A"/>
    <w:rsid w:val="00E43C03"/>
    <w:rsid w:val="00E451C7"/>
    <w:rsid w:val="00E51277"/>
    <w:rsid w:val="00E52D11"/>
    <w:rsid w:val="00E579DA"/>
    <w:rsid w:val="00E6085C"/>
    <w:rsid w:val="00E60F7E"/>
    <w:rsid w:val="00E644EC"/>
    <w:rsid w:val="00E64AFD"/>
    <w:rsid w:val="00E741CB"/>
    <w:rsid w:val="00E77204"/>
    <w:rsid w:val="00E772D9"/>
    <w:rsid w:val="00E81F1C"/>
    <w:rsid w:val="00E8389A"/>
    <w:rsid w:val="00E84309"/>
    <w:rsid w:val="00E86B13"/>
    <w:rsid w:val="00E93740"/>
    <w:rsid w:val="00E952F2"/>
    <w:rsid w:val="00E9564D"/>
    <w:rsid w:val="00E9623B"/>
    <w:rsid w:val="00E97B1E"/>
    <w:rsid w:val="00E97D7F"/>
    <w:rsid w:val="00EA0B86"/>
    <w:rsid w:val="00EA134B"/>
    <w:rsid w:val="00EA1564"/>
    <w:rsid w:val="00EA5540"/>
    <w:rsid w:val="00EA5D66"/>
    <w:rsid w:val="00EB097A"/>
    <w:rsid w:val="00EB214B"/>
    <w:rsid w:val="00EB425E"/>
    <w:rsid w:val="00EB45BD"/>
    <w:rsid w:val="00EB5452"/>
    <w:rsid w:val="00EB661C"/>
    <w:rsid w:val="00EB6760"/>
    <w:rsid w:val="00EB7275"/>
    <w:rsid w:val="00EC0BCA"/>
    <w:rsid w:val="00EC3ECA"/>
    <w:rsid w:val="00EC47DE"/>
    <w:rsid w:val="00EC54DC"/>
    <w:rsid w:val="00EC6757"/>
    <w:rsid w:val="00EC7C6F"/>
    <w:rsid w:val="00EC7ECF"/>
    <w:rsid w:val="00ED199E"/>
    <w:rsid w:val="00ED33E5"/>
    <w:rsid w:val="00ED47A5"/>
    <w:rsid w:val="00ED5156"/>
    <w:rsid w:val="00ED5BBC"/>
    <w:rsid w:val="00EE2393"/>
    <w:rsid w:val="00EE35E5"/>
    <w:rsid w:val="00EE4626"/>
    <w:rsid w:val="00EE5963"/>
    <w:rsid w:val="00EE60D0"/>
    <w:rsid w:val="00EE646A"/>
    <w:rsid w:val="00EE66BF"/>
    <w:rsid w:val="00EE6833"/>
    <w:rsid w:val="00EF003D"/>
    <w:rsid w:val="00EF1104"/>
    <w:rsid w:val="00EF2552"/>
    <w:rsid w:val="00EF2959"/>
    <w:rsid w:val="00EF41C0"/>
    <w:rsid w:val="00EF4A89"/>
    <w:rsid w:val="00EF681D"/>
    <w:rsid w:val="00EF72B1"/>
    <w:rsid w:val="00F00FA1"/>
    <w:rsid w:val="00F03DCF"/>
    <w:rsid w:val="00F04B96"/>
    <w:rsid w:val="00F05893"/>
    <w:rsid w:val="00F1067B"/>
    <w:rsid w:val="00F10971"/>
    <w:rsid w:val="00F12FF4"/>
    <w:rsid w:val="00F2001B"/>
    <w:rsid w:val="00F217E2"/>
    <w:rsid w:val="00F23518"/>
    <w:rsid w:val="00F236ED"/>
    <w:rsid w:val="00F24752"/>
    <w:rsid w:val="00F24A6C"/>
    <w:rsid w:val="00F262B2"/>
    <w:rsid w:val="00F26B99"/>
    <w:rsid w:val="00F31C1E"/>
    <w:rsid w:val="00F32033"/>
    <w:rsid w:val="00F34A23"/>
    <w:rsid w:val="00F34C0B"/>
    <w:rsid w:val="00F35484"/>
    <w:rsid w:val="00F3794C"/>
    <w:rsid w:val="00F4051A"/>
    <w:rsid w:val="00F413C3"/>
    <w:rsid w:val="00F42682"/>
    <w:rsid w:val="00F458FE"/>
    <w:rsid w:val="00F4769E"/>
    <w:rsid w:val="00F47CF0"/>
    <w:rsid w:val="00F517C1"/>
    <w:rsid w:val="00F54B06"/>
    <w:rsid w:val="00F55837"/>
    <w:rsid w:val="00F55A41"/>
    <w:rsid w:val="00F563FB"/>
    <w:rsid w:val="00F56B65"/>
    <w:rsid w:val="00F57320"/>
    <w:rsid w:val="00F60AB8"/>
    <w:rsid w:val="00F63100"/>
    <w:rsid w:val="00F640D6"/>
    <w:rsid w:val="00F66BE2"/>
    <w:rsid w:val="00F71CD9"/>
    <w:rsid w:val="00F74540"/>
    <w:rsid w:val="00F75228"/>
    <w:rsid w:val="00F75AAF"/>
    <w:rsid w:val="00F76283"/>
    <w:rsid w:val="00F804F1"/>
    <w:rsid w:val="00F8235F"/>
    <w:rsid w:val="00F82FA6"/>
    <w:rsid w:val="00F906B3"/>
    <w:rsid w:val="00F90B75"/>
    <w:rsid w:val="00F92E08"/>
    <w:rsid w:val="00F9500C"/>
    <w:rsid w:val="00FA13EE"/>
    <w:rsid w:val="00FB30EE"/>
    <w:rsid w:val="00FB3148"/>
    <w:rsid w:val="00FB5FB6"/>
    <w:rsid w:val="00FB6433"/>
    <w:rsid w:val="00FB7AD8"/>
    <w:rsid w:val="00FC243C"/>
    <w:rsid w:val="00FC2B1A"/>
    <w:rsid w:val="00FC2C9E"/>
    <w:rsid w:val="00FC50C4"/>
    <w:rsid w:val="00FC6F13"/>
    <w:rsid w:val="00FD3355"/>
    <w:rsid w:val="00FD42AE"/>
    <w:rsid w:val="00FD45BD"/>
    <w:rsid w:val="00FD7BF7"/>
    <w:rsid w:val="00FE0739"/>
    <w:rsid w:val="00FE22C3"/>
    <w:rsid w:val="00FE405A"/>
    <w:rsid w:val="00FE6B9F"/>
    <w:rsid w:val="00FF15FE"/>
    <w:rsid w:val="00FF43E4"/>
    <w:rsid w:val="00FF62D1"/>
    <w:rsid w:val="00FF68E1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A60BA9-A8E4-4C2A-88AC-01B48F3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9BE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21063A"/>
    <w:pPr>
      <w:keepNext/>
      <w:numPr>
        <w:numId w:val="2"/>
      </w:numPr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0F1E48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0F1E48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951642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95164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95164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951642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951642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951642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54E95"/>
    <w:rPr>
      <w:rFonts w:ascii="Verdana" w:hAnsi="Verdana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locked/>
    <w:rPr>
      <w:rFonts w:ascii="Verdana" w:hAnsi="Verdana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locked/>
    <w:rsid w:val="00634D55"/>
    <w:rPr>
      <w:rFonts w:ascii="Verdana" w:hAnsi="Verdana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locked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locked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locked/>
    <w:rPr>
      <w:sz w:val="24"/>
      <w:szCs w:val="24"/>
    </w:rPr>
  </w:style>
  <w:style w:type="character" w:customStyle="1" w:styleId="Nadpis8Char">
    <w:name w:val="Nadpis 8 Char"/>
    <w:link w:val="Nadpis8"/>
    <w:uiPriority w:val="9"/>
    <w:locked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locked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0F1E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Verdana" w:hAnsi="Verdana" w:cs="Times New Roman"/>
    </w:rPr>
  </w:style>
  <w:style w:type="paragraph" w:styleId="Zpat">
    <w:name w:val="footer"/>
    <w:basedOn w:val="Normln"/>
    <w:link w:val="ZpatChar"/>
    <w:uiPriority w:val="99"/>
    <w:rsid w:val="000F1E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Verdana" w:hAnsi="Verdana" w:cs="Times New Roman"/>
    </w:rPr>
  </w:style>
  <w:style w:type="character" w:styleId="Hypertextovodkaz">
    <w:name w:val="Hyperlink"/>
    <w:uiPriority w:val="99"/>
    <w:rsid w:val="000F1E48"/>
    <w:rPr>
      <w:rFonts w:cs="Times New Roman"/>
      <w:color w:val="000099"/>
      <w:u w:val="single"/>
    </w:rPr>
  </w:style>
  <w:style w:type="character" w:styleId="slostrnky">
    <w:name w:val="page number"/>
    <w:uiPriority w:val="99"/>
    <w:rsid w:val="000F1E48"/>
    <w:rPr>
      <w:rFonts w:cs="Times New Roman"/>
    </w:rPr>
  </w:style>
  <w:style w:type="table" w:styleId="Mkatabulky">
    <w:name w:val="Table Grid"/>
    <w:basedOn w:val="Normlntabulka"/>
    <w:uiPriority w:val="39"/>
    <w:rsid w:val="0058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FB3148"/>
    <w:pPr>
      <w:tabs>
        <w:tab w:val="left" w:pos="880"/>
        <w:tab w:val="right" w:leader="dot" w:pos="9060"/>
      </w:tabs>
      <w:ind w:left="200"/>
    </w:pPr>
  </w:style>
  <w:style w:type="paragraph" w:styleId="Obsah1">
    <w:name w:val="toc 1"/>
    <w:basedOn w:val="Normln"/>
    <w:next w:val="Normln"/>
    <w:autoRedefine/>
    <w:uiPriority w:val="39"/>
    <w:rsid w:val="0021618E"/>
    <w:rPr>
      <w:b/>
    </w:rPr>
  </w:style>
  <w:style w:type="paragraph" w:styleId="Normlnweb">
    <w:name w:val="Normal (Web)"/>
    <w:basedOn w:val="Normln"/>
    <w:uiPriority w:val="99"/>
    <w:rsid w:val="00D96C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8523A"/>
    <w:pPr>
      <w:autoSpaceDE w:val="0"/>
      <w:autoSpaceDN w:val="0"/>
      <w:ind w:left="708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Verdana" w:hAnsi="Verdana" w:cs="Times New Roman"/>
    </w:rPr>
  </w:style>
  <w:style w:type="paragraph" w:styleId="Obsah3">
    <w:name w:val="toc 3"/>
    <w:basedOn w:val="Normln"/>
    <w:next w:val="Normln"/>
    <w:autoRedefine/>
    <w:uiPriority w:val="39"/>
    <w:rsid w:val="00780250"/>
    <w:pPr>
      <w:ind w:left="400"/>
    </w:pPr>
  </w:style>
  <w:style w:type="character" w:styleId="PsacstrojHTML">
    <w:name w:val="HTML Typewriter"/>
    <w:uiPriority w:val="99"/>
    <w:rsid w:val="00DF046D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911D26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454E95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Verdana" w:hAnsi="Verdana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962C3D"/>
    <w:pPr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customStyle="1" w:styleId="VText2">
    <w:name w:val="V_Text2"/>
    <w:basedOn w:val="Normln"/>
    <w:rsid w:val="0021618E"/>
    <w:pPr>
      <w:spacing w:line="360" w:lineRule="auto"/>
      <w:ind w:firstLine="567"/>
      <w:jc w:val="both"/>
    </w:pPr>
    <w:rPr>
      <w:rFonts w:ascii="Times New Roman" w:hAnsi="Times New Roman"/>
      <w:sz w:val="22"/>
    </w:rPr>
  </w:style>
  <w:style w:type="paragraph" w:customStyle="1" w:styleId="Normln-odrka">
    <w:name w:val="Normální - odrážka"/>
    <w:basedOn w:val="Normln"/>
    <w:link w:val="Normln-odrkaChar"/>
    <w:rsid w:val="0021618E"/>
    <w:pPr>
      <w:numPr>
        <w:numId w:val="1"/>
      </w:numPr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Normln-odrkaChar">
    <w:name w:val="Normální - odrážka Char"/>
    <w:link w:val="Normln-odrka"/>
    <w:locked/>
    <w:rsid w:val="00634D55"/>
    <w:rPr>
      <w:sz w:val="22"/>
      <w:szCs w:val="24"/>
    </w:rPr>
  </w:style>
  <w:style w:type="table" w:styleId="Jednoduchtabulka1">
    <w:name w:val="Table Simple 1"/>
    <w:basedOn w:val="Normlntabulka"/>
    <w:uiPriority w:val="99"/>
    <w:rsid w:val="00FA13EE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rsid w:val="00C15E5E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Verdana" w:hAnsi="Verdana" w:cs="Times New Roman"/>
    </w:rPr>
  </w:style>
  <w:style w:type="character" w:styleId="Znakapoznpodarou">
    <w:name w:val="footnote reference"/>
    <w:uiPriority w:val="99"/>
    <w:semiHidden/>
    <w:rsid w:val="00C15E5E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B63583"/>
    <w:rPr>
      <w:rFonts w:ascii="Times New Roman" w:hAnsi="Times New Roman"/>
      <w:sz w:val="2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B63583"/>
    <w:rPr>
      <w:sz w:val="22"/>
      <w:lang w:val="x-none" w:eastAsia="x-none"/>
    </w:rPr>
  </w:style>
  <w:style w:type="character" w:styleId="Odkaznakoment">
    <w:name w:val="annotation reference"/>
    <w:semiHidden/>
    <w:rsid w:val="00AB545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459"/>
    <w:rPr>
      <w:b/>
      <w:bCs/>
    </w:rPr>
  </w:style>
  <w:style w:type="paragraph" w:styleId="Revize">
    <w:name w:val="Revision"/>
    <w:hidden/>
    <w:uiPriority w:val="99"/>
    <w:semiHidden/>
    <w:rsid w:val="000F6C31"/>
    <w:rPr>
      <w:rFonts w:ascii="Verdana" w:hAnsi="Verdana"/>
    </w:rPr>
  </w:style>
  <w:style w:type="paragraph" w:customStyle="1" w:styleId="Podnadpis">
    <w:name w:val="Podnadpis"/>
    <w:basedOn w:val="Normln"/>
    <w:next w:val="Normln"/>
    <w:link w:val="PodnadpisChar"/>
    <w:qFormat/>
    <w:rsid w:val="001B3E8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1B3E81"/>
    <w:rPr>
      <w:rFonts w:ascii="Calibri Light" w:eastAsia="Times New Roman" w:hAnsi="Calibri Light" w:cs="Times New Roman"/>
      <w:sz w:val="24"/>
      <w:szCs w:val="24"/>
    </w:rPr>
  </w:style>
  <w:style w:type="character" w:styleId="Siln">
    <w:name w:val="Strong"/>
    <w:qFormat/>
    <w:rsid w:val="001B3E81"/>
    <w:rPr>
      <w:b/>
      <w:bCs/>
    </w:rPr>
  </w:style>
  <w:style w:type="table" w:customStyle="1" w:styleId="Mkatabulky6">
    <w:name w:val="Mřížka tabulky6"/>
    <w:basedOn w:val="Normlntabulka"/>
    <w:next w:val="Mkatabulky"/>
    <w:uiPriority w:val="39"/>
    <w:rsid w:val="00985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B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273C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860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49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kop-it.cz" TargetMode="External"/><Relationship Id="rId1" Type="http://schemas.openxmlformats.org/officeDocument/2006/relationships/hyperlink" Target="mailto:prokop@prokop-i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%20Slunsk&#253;\Data%20aplikac&#237;\Microsoft\&#352;ablony\Nab&#237;d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286E-C9B1-4CB0-A866-FDE56380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Nabídka</Template>
  <TotalTime>2</TotalTime>
  <Pages>12</Pages>
  <Words>3738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část</vt:lpstr>
    </vt:vector>
  </TitlesOfParts>
  <Company>Ing. Jaroslav Prokop</Company>
  <LinksUpToDate>false</LinksUpToDate>
  <CharactersWithSpaces>25742</CharactersWithSpaces>
  <SharedDoc>false</SharedDoc>
  <HLinks>
    <vt:vector size="222" baseType="variant"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_Toc175510117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_Toc175510116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_Toc175510115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_Toc175510114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_Toc175510113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_Toc175510112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_Toc175510111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_Toc175510110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_Toc175510109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_Toc175510108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_Toc175510107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_Toc175510106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_Toc175510105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_Toc175510104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_Toc175510103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_Toc175510102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_Toc175510101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_Toc175510100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_Toc175510099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_Toc175510098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_Toc175510097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_Toc175510096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_Toc175510095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_Toc175510094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_Toc175510093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_Toc175510092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_Toc175510091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_Toc175510090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_Toc175510089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_Toc175510088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_Toc175510087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_Toc175510086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_Toc175510085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_Toc175510084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_Toc175510083</vt:lpwstr>
      </vt:variant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http://www.prokop-it.cz/</vt:lpwstr>
      </vt:variant>
      <vt:variant>
        <vt:lpwstr/>
      </vt:variant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mailto:prokop@prokop-it.cz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část</dc:title>
  <dc:subject>Technická část</dc:subject>
  <dc:creator>Jaroslav Prokop</dc:creator>
  <cp:keywords/>
  <cp:lastModifiedBy>Vlašic Roland JUDr.</cp:lastModifiedBy>
  <cp:revision>3</cp:revision>
  <cp:lastPrinted>2019-08-22T09:27:00Z</cp:lastPrinted>
  <dcterms:created xsi:type="dcterms:W3CDTF">2025-01-08T16:30:00Z</dcterms:created>
  <dcterms:modified xsi:type="dcterms:W3CDTF">2025-01-09T14:24:00Z</dcterms:modified>
</cp:coreProperties>
</file>