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ED" w:rsidRPr="00C503ED" w:rsidRDefault="00C324C9" w:rsidP="00C503ED">
      <w:pPr>
        <w:spacing w:after="0"/>
        <w:jc w:val="center"/>
        <w:rPr>
          <w:rFonts w:eastAsia="Times New Roman" w:cs="Calibri"/>
          <w:b/>
          <w:bCs/>
          <w:color w:val="000000"/>
          <w:lang w:eastAsia="cs-CZ"/>
        </w:rPr>
      </w:pPr>
      <w:r w:rsidRPr="00C324C9">
        <w:rPr>
          <w:rFonts w:eastAsia="Times New Roman" w:cs="Calibri"/>
          <w:b/>
          <w:bCs/>
          <w:color w:val="000000"/>
          <w:lang w:eastAsia="cs-CZ"/>
        </w:rPr>
        <w:t xml:space="preserve">Specifikace </w:t>
      </w:r>
      <w:r w:rsidR="00C503ED" w:rsidRPr="00C503ED">
        <w:rPr>
          <w:rFonts w:eastAsia="Times New Roman" w:cs="Calibri"/>
          <w:b/>
          <w:bCs/>
          <w:color w:val="000000"/>
          <w:lang w:eastAsia="cs-CZ"/>
        </w:rPr>
        <w:t>Aktivní prvek</w:t>
      </w:r>
      <w:bookmarkStart w:id="0" w:name="_GoBack"/>
      <w:bookmarkEnd w:id="0"/>
      <w:r w:rsidR="003E4114">
        <w:rPr>
          <w:rFonts w:eastAsia="Times New Roman" w:cs="Calibri"/>
          <w:b/>
          <w:bCs/>
          <w:color w:val="000000"/>
          <w:lang w:eastAsia="cs-CZ"/>
        </w:rPr>
        <w:br/>
      </w:r>
    </w:p>
    <w:tbl>
      <w:tblPr>
        <w:tblW w:w="905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1454"/>
        <w:gridCol w:w="2238"/>
      </w:tblGrid>
      <w:tr w:rsidR="003E4114" w:rsidRPr="000A0170" w:rsidTr="003E4114">
        <w:trPr>
          <w:cantSplit/>
          <w:tblHeader/>
        </w:trPr>
        <w:tc>
          <w:tcPr>
            <w:tcW w:w="5358" w:type="dxa"/>
            <w:shd w:val="clear" w:color="auto" w:fill="BFBFBF"/>
          </w:tcPr>
          <w:p w:rsidR="003E4114" w:rsidRPr="003E4114" w:rsidRDefault="003E4114" w:rsidP="00A000DC">
            <w:pPr>
              <w:pStyle w:val="Bezmezer"/>
              <w:rPr>
                <w:b/>
              </w:rPr>
            </w:pPr>
            <w:r w:rsidRPr="003E4114">
              <w:rPr>
                <w:b/>
              </w:rPr>
              <w:t>Požadovaná funkcionalita/vlastnost</w:t>
            </w:r>
          </w:p>
        </w:tc>
        <w:tc>
          <w:tcPr>
            <w:tcW w:w="1454" w:type="dxa"/>
            <w:shd w:val="clear" w:color="auto" w:fill="BFBFBF"/>
          </w:tcPr>
          <w:p w:rsidR="003E4114" w:rsidRPr="003E4114" w:rsidRDefault="003E4114" w:rsidP="00A000DC">
            <w:pPr>
              <w:pStyle w:val="Bezmezer"/>
              <w:rPr>
                <w:b/>
              </w:rPr>
            </w:pPr>
          </w:p>
        </w:tc>
        <w:tc>
          <w:tcPr>
            <w:tcW w:w="2238" w:type="dxa"/>
            <w:shd w:val="clear" w:color="auto" w:fill="BFBFBF"/>
          </w:tcPr>
          <w:p w:rsidR="003E4114" w:rsidRPr="003E4114" w:rsidRDefault="003E4114" w:rsidP="00A000DC">
            <w:pPr>
              <w:pStyle w:val="Bezmezer"/>
              <w:rPr>
                <w:b/>
              </w:rPr>
            </w:pPr>
            <w:r w:rsidRPr="003E4114">
              <w:rPr>
                <w:b/>
              </w:rPr>
              <w:t>Doplní uchazeč dle nabízeného zařízení</w:t>
            </w:r>
            <w:r w:rsidRPr="003E4114">
              <w:rPr>
                <w:b/>
              </w:rPr>
              <w:br/>
              <w:t>(ANO/NE, u poslední položky výrobce/typ)</w:t>
            </w: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Provedení a typy portů</w:t>
            </w: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Třída zařízení L2/L3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Formát zařízení do racku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Velikost zařízení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1U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1 gigabit portů RJ-45 (s podporou napájení portů)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48 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portů 10Gbit/s porty s možností převodníku SFP+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4 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Plná propustnost portů (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wirespeed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Celková propustnost přepínače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176Gbps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standardu pro napájení portů 802.3af a 802.3at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Dedikovaný výkon pro napájení portů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370W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Podpora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Energy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Efficient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Ethernet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(802.3az)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Časové nastavitelný provoz portů včetně napájecích portů (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PoE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L2 vlastnosti přepínaní</w:t>
            </w: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Značkování VLAN dle standardu 802.1Q (VLAN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tagging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Ochranní mechanismu detekce jednosměrné komunikace (UDLD)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802.1s (MSTP)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802.1w (RSTP)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Standardní výbava ochrany portů protokolu STP pomocí konfigurace BPDU,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Loop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a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Root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guard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mechanizmů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4096 aktivních VLAN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privátních VLAN anebo izolace komunikace koncového zařízení v dané VLAN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mapování VLAN 1:1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dvojitého značkováni VLAN pro vytvoření páteřní logické segmentace s možností připojování pracovišť bez potřeby rekonfigurace stávajících LAN segmentů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velkých rámců (Jumbo) 9000 bajtů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L3 vlastnosti</w:t>
            </w: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statického směrováni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Možnost nastavit IPv4 adresu na fyzický port, agregovaný port a přepínaný virtuální port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IPv6 směrování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Vlastnosti stohování</w:t>
            </w: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Podporovaný počet přepínačů ve stohu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Kapacita stohovacího propojení podle počtu portů a prvků v stohu, alespoň 20Gb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Přepojení stohu pomocí standardního kabelu pro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ethernet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komunikaci.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Kterýkoli prvek ve stohu může být řídícím prvkem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lastRenderedPageBreak/>
              <w:t>Jednotná konfigurace stohu (IP adresa, správa, konfigurační soubor)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Seskupení portů IEEE 802.3ad mezi různými prvky stohu (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Multichassis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LAG)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Minimální 8 portů v jedné skupině dle standardu IEEE 802.3ad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Alespoň 8 skupin pro seskupování portů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Stoh funguje jako jedno L3 zařízení (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router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gateway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, peer) minimálně pro statické směrování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Zabezpečení a řízení komunikace </w:t>
            </w: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Podpora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QoS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, 8 hardwarových front, klasifikace provozu do tříd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Možnost omezovat rychlost přenosu dat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802.1x včetně automatického přiřazování VLAN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web autentifikace pro řízení přístupu do sítě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Podpora ochrany DHCP serveru (DHCP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snooping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 a včetně podpory filtrace provozu na základě zdrojové adresy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503ED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ochrany proti posílá</w:t>
            </w:r>
            <w:r w:rsidR="00C324C9"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ní neplatných ARP dotazů 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Integrovaná ochrana zařízení proti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DoS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Ostatní požadavky</w:t>
            </w: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zrcadlení portů (SPAN)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zrcadlení VLAN na port (analýza komunikace v dané VLAN)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správa přes web a SSH protokol pomocí CLI (příkazové řádky)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Podpora SNMP v1,2 a 3, </w:t>
            </w:r>
            <w:proofErr w:type="spellStart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Syslog</w:t>
            </w:r>
            <w:proofErr w:type="spellEnd"/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Přístup ke konzolovému portu z přední strany přepínače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vAlign w:val="center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Podpora RADIUS a TACACS autentifikace 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Požadavky na záruku a servis</w:t>
            </w: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324C9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Možnost stahovat firmware přes web výrobce. Časově neomezená záruka po dobu životnosti zařízení s dodáním náhradního dílu následující pracovní den, minimálně po dobu 60 měsíců. </w:t>
            </w:r>
          </w:p>
        </w:tc>
        <w:tc>
          <w:tcPr>
            <w:tcW w:w="1454" w:type="dxa"/>
            <w:shd w:val="clear" w:color="auto" w:fill="auto"/>
            <w:hideMark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3E4114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C324C9" w:rsidRPr="003E4114" w:rsidRDefault="00C324C9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503ED" w:rsidRPr="00C324C9" w:rsidTr="003E411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58" w:type="dxa"/>
            <w:shd w:val="clear" w:color="auto" w:fill="auto"/>
          </w:tcPr>
          <w:p w:rsidR="00C503ED" w:rsidRPr="003E4114" w:rsidRDefault="00C503ED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E4114">
              <w:rPr>
                <w:rFonts w:asciiTheme="minorHAnsi" w:hAnsiTheme="minorHAnsi" w:cstheme="minorHAnsi"/>
              </w:rPr>
              <w:t>Typ zařízení (výrobce/typové označení)</w:t>
            </w:r>
          </w:p>
        </w:tc>
        <w:tc>
          <w:tcPr>
            <w:tcW w:w="1454" w:type="dxa"/>
            <w:shd w:val="clear" w:color="auto" w:fill="auto"/>
          </w:tcPr>
          <w:p w:rsidR="00C503ED" w:rsidRPr="003E4114" w:rsidRDefault="00C503ED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2238" w:type="dxa"/>
            <w:shd w:val="clear" w:color="auto" w:fill="auto"/>
          </w:tcPr>
          <w:p w:rsidR="00C503ED" w:rsidRPr="003E4114" w:rsidRDefault="00C503ED" w:rsidP="00C324C9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47429F" w:rsidRDefault="0047429F">
      <w:pPr>
        <w:rPr>
          <w:rFonts w:asciiTheme="minorHAnsi" w:hAnsiTheme="minorHAnsi" w:cstheme="minorHAnsi"/>
          <w:sz w:val="20"/>
          <w:szCs w:val="20"/>
        </w:rPr>
      </w:pPr>
    </w:p>
    <w:p w:rsidR="00C503ED" w:rsidRDefault="00C503ED" w:rsidP="009A4449">
      <w:pPr>
        <w:jc w:val="both"/>
      </w:pPr>
      <w:r>
        <w:t>Požadujeme dodávku nových doposud nepoužitých zařízení. Zařízení musí být určená pro trh v ČR. Požadujeme pokrytí záruky na duby udržitelnosti projektu. Dodaná zařízení musí splňovat požadavky „Standardu konektivity“, který je nutno splnit v rámci realizované výzvy.</w:t>
      </w:r>
    </w:p>
    <w:p w:rsidR="003E4114" w:rsidRDefault="003E4114" w:rsidP="009A4449">
      <w:pPr>
        <w:jc w:val="both"/>
      </w:pPr>
    </w:p>
    <w:p w:rsidR="003E4114" w:rsidRDefault="003E4114" w:rsidP="009A4449">
      <w:pPr>
        <w:jc w:val="both"/>
      </w:pPr>
    </w:p>
    <w:p w:rsidR="00C503ED" w:rsidRDefault="00C503ED">
      <w:pPr>
        <w:rPr>
          <w:rFonts w:asciiTheme="minorHAnsi" w:hAnsiTheme="minorHAnsi" w:cstheme="minorHAnsi"/>
          <w:sz w:val="20"/>
          <w:szCs w:val="20"/>
        </w:rPr>
      </w:pPr>
    </w:p>
    <w:p w:rsidR="00C503ED" w:rsidRDefault="00C503ED" w:rsidP="00C503ED">
      <w:pPr>
        <w:spacing w:after="0"/>
        <w:jc w:val="center"/>
        <w:rPr>
          <w:rFonts w:eastAsia="Times New Roman" w:cs="Calibri"/>
          <w:b/>
          <w:color w:val="000000"/>
          <w:lang w:eastAsia="cs-CZ"/>
        </w:rPr>
      </w:pPr>
      <w:r w:rsidRPr="00C503ED">
        <w:rPr>
          <w:rFonts w:asciiTheme="minorHAnsi" w:hAnsiTheme="minorHAnsi" w:cstheme="minorHAnsi"/>
          <w:b/>
        </w:rPr>
        <w:lastRenderedPageBreak/>
        <w:t xml:space="preserve">Specifikace </w:t>
      </w:r>
      <w:r w:rsidRPr="00C503ED">
        <w:rPr>
          <w:rFonts w:eastAsia="Times New Roman" w:cs="Calibri"/>
          <w:b/>
          <w:color w:val="000000"/>
          <w:lang w:eastAsia="cs-CZ"/>
        </w:rPr>
        <w:t>Kabel pro propojení aktivních prvků</w:t>
      </w:r>
    </w:p>
    <w:p w:rsidR="00C503ED" w:rsidRDefault="00C503ED" w:rsidP="00C503ED">
      <w:pPr>
        <w:spacing w:after="0"/>
        <w:jc w:val="center"/>
        <w:rPr>
          <w:rFonts w:eastAsia="Times New Roman" w:cs="Calibri"/>
          <w:b/>
          <w:color w:val="000000"/>
          <w:lang w:eastAsia="cs-CZ"/>
        </w:rPr>
      </w:pPr>
    </w:p>
    <w:p w:rsidR="009A4449" w:rsidRDefault="00C503ED" w:rsidP="009A4449">
      <w:pPr>
        <w:spacing w:after="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Požadujeme dodávku </w:t>
      </w:r>
      <w:proofErr w:type="spellStart"/>
      <w:r>
        <w:rPr>
          <w:rFonts w:eastAsia="Times New Roman" w:cs="Calibri"/>
          <w:color w:val="000000"/>
          <w:lang w:eastAsia="cs-CZ"/>
        </w:rPr>
        <w:t>opticko</w:t>
      </w:r>
      <w:proofErr w:type="spellEnd"/>
      <w:r>
        <w:rPr>
          <w:rFonts w:eastAsia="Times New Roman" w:cs="Calibri"/>
          <w:color w:val="000000"/>
          <w:lang w:eastAsia="cs-CZ"/>
        </w:rPr>
        <w:t xml:space="preserve">/metalických kabelů s odpovídající délkou, tak aby bylo možno propojit jednotlivé Aktivní prvky v jednom racku rychlostí 10 </w:t>
      </w:r>
      <w:proofErr w:type="spellStart"/>
      <w:r>
        <w:rPr>
          <w:rFonts w:eastAsia="Times New Roman" w:cs="Calibri"/>
          <w:color w:val="000000"/>
          <w:lang w:eastAsia="cs-CZ"/>
        </w:rPr>
        <w:t>Gbit</w:t>
      </w:r>
      <w:proofErr w:type="spellEnd"/>
      <w:r>
        <w:rPr>
          <w:rFonts w:eastAsia="Times New Roman" w:cs="Calibri"/>
          <w:color w:val="000000"/>
          <w:lang w:eastAsia="cs-CZ"/>
        </w:rPr>
        <w:t xml:space="preserve">. Kabel musí být plně kompatibilní s výše </w:t>
      </w:r>
      <w:r w:rsidR="009A4449">
        <w:rPr>
          <w:rFonts w:eastAsia="Times New Roman" w:cs="Calibri"/>
          <w:color w:val="000000"/>
          <w:lang w:eastAsia="cs-CZ"/>
        </w:rPr>
        <w:t>uvedeným typem aktivního prvku.</w:t>
      </w:r>
    </w:p>
    <w:p w:rsidR="00C503ED" w:rsidRDefault="00C503ED" w:rsidP="009A4449">
      <w:pPr>
        <w:spacing w:after="0"/>
        <w:jc w:val="both"/>
      </w:pPr>
      <w:r>
        <w:t>Požadujeme dodávku nových doposud nepoužitých zařízení. Zařízení musí být určená pro trh v ČR. Zařízení musí být pokryto zárukou minimálně v délce 60 měsíců od data předání díla.</w:t>
      </w:r>
    </w:p>
    <w:p w:rsidR="00C503ED" w:rsidRDefault="00C503ED" w:rsidP="00C503ED">
      <w:pPr>
        <w:spacing w:after="0"/>
      </w:pPr>
    </w:p>
    <w:p w:rsidR="00C503ED" w:rsidRDefault="00C503ED" w:rsidP="00C503ED">
      <w:pPr>
        <w:spacing w:after="0"/>
      </w:pPr>
    </w:p>
    <w:p w:rsidR="00C503ED" w:rsidRDefault="00C503ED" w:rsidP="00C503ED">
      <w:pPr>
        <w:spacing w:after="0"/>
      </w:pPr>
    </w:p>
    <w:p w:rsidR="00C503ED" w:rsidRDefault="00C503ED" w:rsidP="00C503ED">
      <w:pPr>
        <w:spacing w:after="0"/>
      </w:pPr>
    </w:p>
    <w:p w:rsidR="00C503ED" w:rsidRDefault="00C503ED" w:rsidP="00C503ED">
      <w:pPr>
        <w:spacing w:after="0"/>
      </w:pPr>
    </w:p>
    <w:p w:rsidR="00C503ED" w:rsidRDefault="00C503ED" w:rsidP="00C503ED">
      <w:pPr>
        <w:spacing w:after="0"/>
        <w:jc w:val="center"/>
        <w:rPr>
          <w:rFonts w:asciiTheme="minorHAnsi" w:hAnsiTheme="minorHAnsi" w:cstheme="minorHAnsi"/>
          <w:b/>
        </w:rPr>
      </w:pPr>
      <w:r w:rsidRPr="00C503ED">
        <w:rPr>
          <w:rFonts w:asciiTheme="minorHAnsi" w:hAnsiTheme="minorHAnsi" w:cstheme="minorHAnsi"/>
          <w:b/>
        </w:rPr>
        <w:t>Specifikace Optický modul</w:t>
      </w:r>
    </w:p>
    <w:p w:rsidR="00C503ED" w:rsidRDefault="00C503ED" w:rsidP="00C503ED">
      <w:pPr>
        <w:spacing w:after="0"/>
        <w:jc w:val="center"/>
        <w:rPr>
          <w:rFonts w:asciiTheme="minorHAnsi" w:hAnsiTheme="minorHAnsi" w:cstheme="minorHAnsi"/>
          <w:b/>
        </w:rPr>
      </w:pPr>
    </w:p>
    <w:p w:rsidR="00C503ED" w:rsidRDefault="00C503ED" w:rsidP="009A4449">
      <w:pPr>
        <w:spacing w:after="0"/>
        <w:jc w:val="both"/>
      </w:pPr>
      <w:r>
        <w:rPr>
          <w:rFonts w:asciiTheme="minorHAnsi" w:hAnsiTheme="minorHAnsi" w:cstheme="minorHAnsi"/>
        </w:rPr>
        <w:t xml:space="preserve">Požadujeme dodávku optických modulů (párů) zajišťujících funkčnost spoje na vzdálenost alespoň 10km po jednom vlákně SM s rychlostí přenosu až 10Gbit. Požadujeme kompatibilitu na straně přípojného místa se </w:t>
      </w:r>
      <w:proofErr w:type="spellStart"/>
      <w:r>
        <w:rPr>
          <w:rFonts w:asciiTheme="minorHAnsi" w:hAnsiTheme="minorHAnsi" w:cstheme="minorHAnsi"/>
        </w:rPr>
        <w:t>switchem</w:t>
      </w:r>
      <w:proofErr w:type="spellEnd"/>
      <w:r>
        <w:rPr>
          <w:rFonts w:asciiTheme="minorHAnsi" w:hAnsiTheme="minorHAnsi" w:cstheme="minorHAnsi"/>
        </w:rPr>
        <w:t xml:space="preserve"> SX550X ve forma SFP+ modulu</w:t>
      </w:r>
      <w:r w:rsidR="009A4449">
        <w:rPr>
          <w:rFonts w:asciiTheme="minorHAnsi" w:hAnsiTheme="minorHAnsi" w:cstheme="minorHAnsi"/>
        </w:rPr>
        <w:t xml:space="preserve"> (umístění v areálu </w:t>
      </w:r>
      <w:proofErr w:type="spellStart"/>
      <w:r w:rsidR="009A4449">
        <w:rPr>
          <w:rFonts w:asciiTheme="minorHAnsi" w:hAnsiTheme="minorHAnsi" w:cstheme="minorHAnsi"/>
        </w:rPr>
        <w:t>MěÚ</w:t>
      </w:r>
      <w:proofErr w:type="spellEnd"/>
      <w:r w:rsidR="009A444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Na straně </w:t>
      </w:r>
      <w:r w:rsidR="009A4449">
        <w:rPr>
          <w:rFonts w:asciiTheme="minorHAnsi" w:hAnsiTheme="minorHAnsi" w:cstheme="minorHAnsi"/>
        </w:rPr>
        <w:t xml:space="preserve">odběrného místa požadujeme plnou kompatibilitu s výše uvedeným Aktivním prvkem. </w:t>
      </w:r>
      <w:r w:rsidR="009A4449">
        <w:t>Požadujeme dodávku nových doposud nepoužitých zařízení. Zařízení musí být určená pro trh v ČR. Zařízení musí být pokryto zárukou minimálně v délce 60 měsíců od data předání díla.</w:t>
      </w:r>
    </w:p>
    <w:p w:rsidR="009A4449" w:rsidRDefault="009A4449" w:rsidP="009A4449">
      <w:pPr>
        <w:spacing w:after="0"/>
        <w:jc w:val="both"/>
      </w:pPr>
    </w:p>
    <w:p w:rsidR="009A4449" w:rsidRDefault="009A4449" w:rsidP="009A4449">
      <w:pPr>
        <w:spacing w:after="0"/>
        <w:jc w:val="both"/>
      </w:pPr>
    </w:p>
    <w:p w:rsidR="009A4449" w:rsidRDefault="009A4449" w:rsidP="009A4449">
      <w:pPr>
        <w:spacing w:after="0"/>
        <w:jc w:val="center"/>
        <w:rPr>
          <w:b/>
        </w:rPr>
      </w:pPr>
      <w:r w:rsidRPr="009A4449">
        <w:rPr>
          <w:b/>
        </w:rPr>
        <w:t>Specifikace Záložní zdroj včetně managementu prostředí a komunikační karty</w:t>
      </w:r>
    </w:p>
    <w:p w:rsidR="007E7924" w:rsidRDefault="007E7924" w:rsidP="009A4449">
      <w:pPr>
        <w:spacing w:after="0"/>
        <w:jc w:val="center"/>
        <w:rPr>
          <w:b/>
        </w:rPr>
      </w:pPr>
    </w:p>
    <w:p w:rsidR="007E7924" w:rsidRDefault="007E7924" w:rsidP="007E7924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2190"/>
        <w:gridCol w:w="1273"/>
      </w:tblGrid>
      <w:tr w:rsidR="007E7924" w:rsidRPr="000A0170" w:rsidTr="00A000DC">
        <w:trPr>
          <w:cantSplit/>
          <w:tblHeader/>
        </w:trPr>
        <w:tc>
          <w:tcPr>
            <w:tcW w:w="5609" w:type="dxa"/>
            <w:shd w:val="clear" w:color="auto" w:fill="BFBFBF"/>
          </w:tcPr>
          <w:p w:rsidR="007E7924" w:rsidRPr="000A0170" w:rsidRDefault="007E7924" w:rsidP="00A000DC">
            <w:pPr>
              <w:pStyle w:val="Bezmezer"/>
              <w:rPr>
                <w:b/>
                <w:sz w:val="20"/>
                <w:szCs w:val="20"/>
              </w:rPr>
            </w:pPr>
            <w:r w:rsidRPr="000A0170">
              <w:rPr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2190" w:type="dxa"/>
            <w:shd w:val="clear" w:color="auto" w:fill="BFBFBF"/>
          </w:tcPr>
          <w:p w:rsidR="007E7924" w:rsidRPr="000A0170" w:rsidRDefault="007E7924" w:rsidP="00A000DC">
            <w:pPr>
              <w:pStyle w:val="Bezmezer"/>
              <w:rPr>
                <w:b/>
                <w:sz w:val="20"/>
                <w:szCs w:val="20"/>
              </w:rPr>
            </w:pPr>
            <w:r w:rsidRPr="000A0170">
              <w:rPr>
                <w:b/>
                <w:sz w:val="20"/>
                <w:szCs w:val="20"/>
              </w:rPr>
              <w:t>Způsob splnění požadované funkcionality/vlastnosti</w:t>
            </w:r>
          </w:p>
        </w:tc>
        <w:tc>
          <w:tcPr>
            <w:tcW w:w="1273" w:type="dxa"/>
            <w:shd w:val="clear" w:color="auto" w:fill="BFBFBF"/>
          </w:tcPr>
          <w:p w:rsidR="007E7924" w:rsidRPr="000A0170" w:rsidRDefault="007E7924" w:rsidP="00A000DC">
            <w:pPr>
              <w:pStyle w:val="Bezmezer"/>
              <w:rPr>
                <w:b/>
                <w:sz w:val="20"/>
                <w:szCs w:val="20"/>
              </w:rPr>
            </w:pPr>
            <w:r w:rsidRPr="000A0170">
              <w:rPr>
                <w:b/>
                <w:sz w:val="20"/>
                <w:szCs w:val="20"/>
              </w:rPr>
              <w:t>Doplní Uchazeč dle nabízeného zařízení</w:t>
            </w: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  <w:b/>
                <w:i/>
              </w:rPr>
            </w:pPr>
            <w:r w:rsidRPr="006D1028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zh-CN"/>
              </w:rPr>
              <w:t>Záložní zdroj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Výkon alespoň 1000VA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Graficky LCD display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lang w:val="en-US" w:eastAsia="zh-CN"/>
              </w:rPr>
            </w:pPr>
            <w:proofErr w:type="spellStart"/>
            <w:r w:rsidRPr="006D1028">
              <w:rPr>
                <w:rFonts w:asciiTheme="minorHAnsi" w:hAnsiTheme="minorHAnsi" w:cstheme="minorHAnsi"/>
              </w:rPr>
              <w:t>Sofistikovany</w:t>
            </w:r>
            <w:proofErr w:type="spellEnd"/>
            <w:r w:rsidRPr="006D1028">
              <w:rPr>
                <w:rFonts w:asciiTheme="minorHAnsi" w:hAnsiTheme="minorHAnsi" w:cstheme="minorHAnsi"/>
              </w:rPr>
              <w:t xml:space="preserve"> bateriový management, </w:t>
            </w:r>
            <w:proofErr w:type="spellStart"/>
            <w:r w:rsidRPr="006D1028">
              <w:rPr>
                <w:rFonts w:asciiTheme="minorHAnsi" w:hAnsiTheme="minorHAnsi" w:cstheme="minorHAnsi"/>
              </w:rPr>
              <w:t>autotest</w:t>
            </w:r>
            <w:proofErr w:type="spellEnd"/>
            <w:r w:rsidRPr="006D1028">
              <w:rPr>
                <w:rFonts w:asciiTheme="minorHAnsi" w:hAnsiTheme="minorHAnsi" w:cstheme="minorHAnsi"/>
              </w:rPr>
              <w:t xml:space="preserve"> baterii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6D1028">
              <w:rPr>
                <w:rFonts w:asciiTheme="minorHAnsi" w:hAnsiTheme="minorHAnsi" w:cstheme="minorHAnsi"/>
              </w:rPr>
              <w:t xml:space="preserve">2 skupiny </w:t>
            </w:r>
            <w:proofErr w:type="spellStart"/>
            <w:r w:rsidRPr="006D1028">
              <w:rPr>
                <w:rFonts w:asciiTheme="minorHAnsi" w:hAnsiTheme="minorHAnsi" w:cstheme="minorHAnsi"/>
              </w:rPr>
              <w:t>vystupnich</w:t>
            </w:r>
            <w:proofErr w:type="spellEnd"/>
            <w:r w:rsidRPr="006D1028">
              <w:rPr>
                <w:rFonts w:asciiTheme="minorHAnsi" w:hAnsiTheme="minorHAnsi" w:cstheme="minorHAnsi"/>
              </w:rPr>
              <w:t xml:space="preserve"> zásuvek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6D1028">
              <w:rPr>
                <w:rFonts w:asciiTheme="minorHAnsi" w:hAnsiTheme="minorHAnsi" w:cstheme="minorHAnsi"/>
              </w:rPr>
              <w:t>Podpora virtuálního prostředí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Vzdálené kontakty pro nouzové vypnuti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Výměna baterii bez nutnosti vypnuti UPS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Podpora jednotného managementu pro záložní zdroje 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Možnost volné instalace nejedná se o rackové provedení)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Typ zařízení (výrobce/typové označení)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zh-CN"/>
              </w:rPr>
              <w:t>Komunikační karta včetně příslušenství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1GB konektivita, automatické rozpoznání rychlosti připojení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Moznost připojení více senzorů okolního prostředí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Certifikace dle normy IEC 62443-4-2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lastRenderedPageBreak/>
              <w:t>Protokoly - HTTP, HTTPS 1.1, TLS 1.2, SNMP V1, SNMP V3, NTP, SMTP, SMTPS BOOTP/DHCP IPv6, CLI, SSH, ARP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Senzor okolního prostředí podporující snímání teploty a vlhkosti prostředí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 xml:space="preserve">Senzor okolního prostředí umožnuje připojení alespoň na dva beznapěťové kontakty s definicí NO/NC 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SPLŇUJE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E7924" w:rsidRPr="006D1028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Typ zařízení (výrobce/typové označení)</w:t>
            </w:r>
          </w:p>
        </w:tc>
        <w:tc>
          <w:tcPr>
            <w:tcW w:w="2190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  <w:r w:rsidRPr="006D1028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273" w:type="dxa"/>
            <w:shd w:val="clear" w:color="auto" w:fill="auto"/>
          </w:tcPr>
          <w:p w:rsidR="007E7924" w:rsidRPr="006D1028" w:rsidRDefault="007E7924" w:rsidP="00A000DC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:rsidR="007E7924" w:rsidRDefault="007E7924" w:rsidP="003E4114">
      <w:pPr>
        <w:jc w:val="both"/>
      </w:pPr>
    </w:p>
    <w:p w:rsidR="007E7924" w:rsidRDefault="007E7924" w:rsidP="003E4114">
      <w:pPr>
        <w:jc w:val="both"/>
      </w:pPr>
      <w:r>
        <w:t>Požadujeme dodávku nového doposud nepoužitého zařízení. Zařízení musí být určená pro trh v ČR. Zařízení (záložní zdroj, karta a management prostředí) musí být jeden komplexně funkční celek od jednoho výrobce. Vazba na management záložního zdrojů (aplikační SW příkladně pro virtuální prostředí) musí být od téhož výrobce. Požadujeme záruku v minimální délce 24 měsíců</w:t>
      </w:r>
      <w:r w:rsidR="003E4114">
        <w:t>.</w:t>
      </w:r>
    </w:p>
    <w:p w:rsidR="009A4449" w:rsidRDefault="009A4449" w:rsidP="009A4449">
      <w:pPr>
        <w:spacing w:after="0"/>
        <w:jc w:val="center"/>
        <w:rPr>
          <w:b/>
        </w:rPr>
      </w:pPr>
      <w:r w:rsidRPr="009A4449">
        <w:rPr>
          <w:b/>
        </w:rPr>
        <w:t xml:space="preserve">Specifikace </w:t>
      </w:r>
      <w:proofErr w:type="spellStart"/>
      <w:r w:rsidRPr="009A4449">
        <w:rPr>
          <w:b/>
        </w:rPr>
        <w:t>PoE</w:t>
      </w:r>
      <w:proofErr w:type="spellEnd"/>
      <w:r w:rsidRPr="009A4449">
        <w:rPr>
          <w:b/>
        </w:rPr>
        <w:t xml:space="preserve"> přístupový bod</w:t>
      </w:r>
    </w:p>
    <w:p w:rsidR="009A4449" w:rsidRDefault="009A4449" w:rsidP="009A4449">
      <w:pPr>
        <w:spacing w:after="0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2190"/>
        <w:gridCol w:w="1273"/>
      </w:tblGrid>
      <w:tr w:rsidR="009A4449" w:rsidRPr="000A0170" w:rsidTr="00A000DC">
        <w:trPr>
          <w:cantSplit/>
          <w:tblHeader/>
        </w:trPr>
        <w:tc>
          <w:tcPr>
            <w:tcW w:w="5609" w:type="dxa"/>
            <w:shd w:val="clear" w:color="auto" w:fill="BFBFBF"/>
          </w:tcPr>
          <w:p w:rsidR="009A4449" w:rsidRPr="000A0170" w:rsidRDefault="009A4449" w:rsidP="00A000DC">
            <w:pPr>
              <w:pStyle w:val="Bezmezer"/>
              <w:rPr>
                <w:b/>
                <w:sz w:val="20"/>
                <w:szCs w:val="20"/>
              </w:rPr>
            </w:pPr>
            <w:r w:rsidRPr="000A0170">
              <w:rPr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2190" w:type="dxa"/>
            <w:shd w:val="clear" w:color="auto" w:fill="BFBFBF"/>
          </w:tcPr>
          <w:p w:rsidR="009A4449" w:rsidRPr="000A0170" w:rsidRDefault="009A4449" w:rsidP="00A000DC">
            <w:pPr>
              <w:pStyle w:val="Bezmezer"/>
              <w:rPr>
                <w:b/>
                <w:sz w:val="20"/>
                <w:szCs w:val="20"/>
              </w:rPr>
            </w:pPr>
            <w:r w:rsidRPr="000A0170">
              <w:rPr>
                <w:b/>
                <w:sz w:val="20"/>
                <w:szCs w:val="20"/>
              </w:rPr>
              <w:t>Způsob splnění požadované funkcionality/vlastnosti</w:t>
            </w:r>
          </w:p>
        </w:tc>
        <w:tc>
          <w:tcPr>
            <w:tcW w:w="1273" w:type="dxa"/>
            <w:shd w:val="clear" w:color="auto" w:fill="BFBFBF"/>
          </w:tcPr>
          <w:p w:rsidR="009A4449" w:rsidRPr="000A0170" w:rsidRDefault="009A4449" w:rsidP="00A000DC">
            <w:pPr>
              <w:pStyle w:val="Bezmezer"/>
              <w:rPr>
                <w:b/>
                <w:sz w:val="20"/>
                <w:szCs w:val="20"/>
              </w:rPr>
            </w:pPr>
            <w:r w:rsidRPr="000A0170">
              <w:rPr>
                <w:b/>
                <w:sz w:val="20"/>
                <w:szCs w:val="20"/>
              </w:rPr>
              <w:t>Doplní Uchazeč dle nabízeného zařízení</w:t>
            </w:r>
          </w:p>
        </w:tc>
      </w:tr>
      <w:tr w:rsidR="009A4449" w:rsidRPr="00A51B5D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57763C" w:rsidRDefault="009A4449" w:rsidP="00A000DC">
            <w:pPr>
              <w:pStyle w:val="Bezmez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57763C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zh-CN"/>
              </w:rPr>
              <w:t>WiFi</w:t>
            </w:r>
            <w:proofErr w:type="spellEnd"/>
            <w:r w:rsidRPr="0057763C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zh-CN"/>
              </w:rPr>
              <w:t xml:space="preserve"> Access Point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9A4449" w:rsidRPr="0057763C" w:rsidRDefault="009A4449" w:rsidP="00A000DC">
            <w:pPr>
              <w:pStyle w:val="Bezmez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A4449" w:rsidRPr="00A51B5D" w:rsidRDefault="009A4449" w:rsidP="00A000DC">
            <w:pPr>
              <w:pStyle w:val="Bezmezer"/>
              <w:rPr>
                <w:b/>
                <w:sz w:val="20"/>
                <w:szCs w:val="20"/>
              </w:rPr>
            </w:pPr>
          </w:p>
        </w:tc>
      </w:tr>
      <w:tr w:rsidR="009A4449" w:rsidRPr="007375B5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7375B5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 Point určený pro instalaci na strop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podhled</w:t>
            </w:r>
          </w:p>
        </w:tc>
        <w:tc>
          <w:tcPr>
            <w:tcW w:w="2190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  <w:r w:rsidRPr="007375B5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hAnsiTheme="minorHAnsi" w:cstheme="minorHAnsi"/>
                <w:sz w:val="20"/>
                <w:szCs w:val="20"/>
              </w:rPr>
              <w:t>Typ antén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Integrované pro obě pásma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1F413B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zh-CN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Access Point vybavený radiem pro 2,4 a 5 GHz pásmo,</w:t>
            </w:r>
            <w:r w:rsidRPr="000A0170">
              <w:rPr>
                <w:rFonts w:asciiTheme="minorHAnsi" w:hAnsiTheme="minorHAnsi" w:cstheme="minorHAnsi"/>
                <w:sz w:val="20"/>
                <w:szCs w:val="20"/>
              </w:rPr>
              <w:t xml:space="preserve">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dpora standardu 802.11a/b/g/n/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Podpora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minimálně 2x2</w:t>
            </w: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MIMO,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MU-MIMO a </w:t>
            </w: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až 80 MHz kanál pro 802.11ac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wave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A01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Minimální počet inzerovaných SSID (BSSID) per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radio</w:t>
            </w:r>
            <w:proofErr w:type="spellEnd"/>
          </w:p>
        </w:tc>
        <w:tc>
          <w:tcPr>
            <w:tcW w:w="2190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A01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Nastavitelný DTIM interval (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Delivery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Traffic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Indication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Message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 pro jednotlivé WLAN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Podpora mechanismu pro optimalizaci fáze vysílaného bezdráto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vého signálu směrem k </w:t>
            </w: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802.11 n/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ac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klientům (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Tx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Beam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Forming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Podpora mechanismu pro přepojení klientů z 2,4GHz do 5GHz pásma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hAnsiTheme="minorHAnsi" w:cstheme="minorHAnsi"/>
                <w:sz w:val="20"/>
                <w:szCs w:val="20"/>
              </w:rPr>
              <w:t xml:space="preserve">Access Pointy </w:t>
            </w:r>
            <w:proofErr w:type="gramStart"/>
            <w:r w:rsidRPr="000A0170">
              <w:rPr>
                <w:rFonts w:asciiTheme="minorHAnsi" w:hAnsiTheme="minorHAnsi" w:cstheme="minorHAnsi"/>
                <w:sz w:val="20"/>
                <w:szCs w:val="20"/>
              </w:rPr>
              <w:t>obsahují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0170">
              <w:rPr>
                <w:rFonts w:asciiTheme="minorHAnsi" w:hAnsiTheme="minorHAnsi" w:cstheme="minorHAnsi"/>
                <w:sz w:val="20"/>
                <w:szCs w:val="20"/>
              </w:rPr>
              <w:t>X.50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  <w:r w:rsidRPr="000A0170">
              <w:rPr>
                <w:rFonts w:asciiTheme="minorHAnsi" w:hAnsiTheme="minorHAnsi" w:cstheme="minorHAnsi"/>
                <w:sz w:val="20"/>
                <w:szCs w:val="20"/>
              </w:rPr>
              <w:t xml:space="preserve"> certifikát s lokální platností pro nasazeni PKI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Podpora detekce a monitorování problémů WLAN odchytáváním provozu na AP a jeho zasíláním do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Ethernetového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analyzátoru (např.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Wireshark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Podpora přímého přístupu na příkazovou řádku AP přes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serial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konzoli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přes IPv4 pomocí</w:t>
            </w:r>
            <w:r w:rsidRPr="000A0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Telnet a SSH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3E5BE6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3E5BE6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3E5BE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odpora spektrální analýzy (detekce zdroje rušivého signálu – interference)</w:t>
            </w:r>
          </w:p>
        </w:tc>
        <w:tc>
          <w:tcPr>
            <w:tcW w:w="2190" w:type="dxa"/>
            <w:shd w:val="clear" w:color="auto" w:fill="auto"/>
          </w:tcPr>
          <w:p w:rsidR="009A4449" w:rsidRPr="003E5BE6" w:rsidRDefault="009A4449" w:rsidP="00A000DC">
            <w:pPr>
              <w:pStyle w:val="Bezmezer"/>
              <w:rPr>
                <w:sz w:val="20"/>
                <w:szCs w:val="20"/>
              </w:rPr>
            </w:pPr>
            <w:r w:rsidRPr="003E5BE6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3E5BE6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3E5BE6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3E5BE6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3E5BE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odpora rozpoznání zdroje rušivého signálu podle signatur</w:t>
            </w:r>
          </w:p>
        </w:tc>
        <w:tc>
          <w:tcPr>
            <w:tcW w:w="2190" w:type="dxa"/>
            <w:shd w:val="clear" w:color="auto" w:fill="auto"/>
          </w:tcPr>
          <w:p w:rsidR="009A4449" w:rsidRPr="003E5BE6" w:rsidRDefault="009A4449" w:rsidP="00A000DC">
            <w:pPr>
              <w:pStyle w:val="Bezmezer"/>
              <w:rPr>
                <w:sz w:val="20"/>
                <w:szCs w:val="20"/>
              </w:rPr>
            </w:pPr>
            <w:r w:rsidRPr="003E5BE6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3E5BE6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Default="009A4449" w:rsidP="00A000DC">
            <w:pPr>
              <w:pStyle w:val="Bezmez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Access Point obsahuje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low-energy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BLE) 4.1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radio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center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B14DE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x</w:t>
            </w:r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10/100/1000 </w:t>
            </w:r>
            <w:proofErr w:type="spellStart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0A01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rozhraní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0A0170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0A0170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170">
              <w:rPr>
                <w:rFonts w:asciiTheme="minorHAnsi" w:hAnsiTheme="minorHAnsi" w:cstheme="minorHAnsi"/>
                <w:sz w:val="20"/>
                <w:szCs w:val="20"/>
              </w:rPr>
              <w:t xml:space="preserve">Možnost 802.3af </w:t>
            </w:r>
            <w:proofErr w:type="spellStart"/>
            <w:r w:rsidRPr="000A0170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0A0170">
              <w:rPr>
                <w:rFonts w:asciiTheme="minorHAnsi" w:hAnsiTheme="minorHAnsi" w:cstheme="minorHAnsi"/>
                <w:sz w:val="20"/>
                <w:szCs w:val="20"/>
              </w:rPr>
              <w:t xml:space="preserve"> napájení AP z přepínače nebo </w:t>
            </w:r>
            <w:proofErr w:type="spellStart"/>
            <w:r w:rsidRPr="000A0170">
              <w:rPr>
                <w:rFonts w:asciiTheme="minorHAnsi" w:hAnsiTheme="minorHAnsi" w:cstheme="minorHAnsi"/>
                <w:sz w:val="20"/>
                <w:szCs w:val="20"/>
              </w:rPr>
              <w:t>injectoru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  <w:r w:rsidRPr="000A0170"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0A0170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7375B5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260CBE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Důvěryhodný HW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/SW – AP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používá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bezpe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čný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zavaděč OS, ověřování podpisu OS, kontrolu autentičnosti HW a mechanizmy pro ochranu SW a HW proti útokům</w:t>
            </w:r>
          </w:p>
        </w:tc>
        <w:tc>
          <w:tcPr>
            <w:tcW w:w="2190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7375B5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9F711E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9F711E">
              <w:rPr>
                <w:rFonts w:asciiTheme="minorHAnsi" w:hAnsiTheme="minorHAnsi" w:cstheme="minorHAnsi"/>
                <w:sz w:val="20"/>
                <w:szCs w:val="20"/>
              </w:rPr>
              <w:t xml:space="preserve">Plná podpora AP na stávajícím bezdrátovém </w:t>
            </w:r>
            <w:proofErr w:type="spellStart"/>
            <w:r w:rsidRPr="009F711E">
              <w:rPr>
                <w:rFonts w:asciiTheme="minorHAnsi" w:hAnsiTheme="minorHAnsi" w:cstheme="minorHAnsi"/>
                <w:sz w:val="20"/>
                <w:szCs w:val="20"/>
              </w:rPr>
              <w:t>kontroleru</w:t>
            </w:r>
            <w:proofErr w:type="spellEnd"/>
            <w:r w:rsidRPr="009F711E">
              <w:rPr>
                <w:rFonts w:asciiTheme="minorHAnsi" w:hAnsiTheme="minorHAnsi" w:cstheme="minorHAnsi"/>
                <w:sz w:val="20"/>
                <w:szCs w:val="20"/>
              </w:rPr>
              <w:t xml:space="preserve"> zadavatele Cisco CT3504</w:t>
            </w:r>
          </w:p>
        </w:tc>
        <w:tc>
          <w:tcPr>
            <w:tcW w:w="2190" w:type="dxa"/>
            <w:shd w:val="clear" w:color="auto" w:fill="auto"/>
          </w:tcPr>
          <w:p w:rsidR="009A4449" w:rsidRDefault="009A4449" w:rsidP="00A000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</w:t>
            </w:r>
          </w:p>
        </w:tc>
        <w:tc>
          <w:tcPr>
            <w:tcW w:w="1273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7375B5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9F711E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9F711E">
              <w:rPr>
                <w:rFonts w:asciiTheme="minorHAnsi" w:hAnsiTheme="minorHAnsi" w:cstheme="minorHAnsi"/>
                <w:sz w:val="20"/>
                <w:szCs w:val="20"/>
              </w:rPr>
              <w:t xml:space="preserve">Součástí dodávky každého AP jsou licence pro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stávající </w:t>
            </w:r>
            <w:proofErr w:type="spellStart"/>
            <w:r w:rsidRPr="009F711E">
              <w:rPr>
                <w:rFonts w:asciiTheme="minorHAnsi" w:hAnsiTheme="minorHAnsi" w:cstheme="minorHAnsi"/>
                <w:sz w:val="20"/>
                <w:szCs w:val="20"/>
              </w:rPr>
              <w:t>kontroler</w:t>
            </w:r>
            <w:proofErr w:type="spellEnd"/>
            <w:r w:rsidRPr="009F711E">
              <w:rPr>
                <w:rFonts w:asciiTheme="minorHAnsi" w:hAnsiTheme="minorHAnsi" w:cstheme="minorHAnsi"/>
                <w:sz w:val="20"/>
                <w:szCs w:val="20"/>
              </w:rPr>
              <w:t xml:space="preserve"> bezdrátové sítě</w:t>
            </w:r>
            <w:r w:rsidR="003E411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3E4114">
              <w:rPr>
                <w:rFonts w:asciiTheme="minorHAnsi" w:hAnsiTheme="minorHAnsi" w:cstheme="minorHAnsi"/>
                <w:sz w:val="20"/>
                <w:szCs w:val="20"/>
              </w:rPr>
              <w:t>kontroler</w:t>
            </w:r>
            <w:proofErr w:type="spellEnd"/>
            <w:r w:rsidR="003E4114">
              <w:rPr>
                <w:rFonts w:asciiTheme="minorHAnsi" w:hAnsiTheme="minorHAnsi" w:cstheme="minorHAnsi"/>
                <w:sz w:val="20"/>
                <w:szCs w:val="20"/>
              </w:rPr>
              <w:t xml:space="preserve"> CT-3504)</w:t>
            </w:r>
          </w:p>
        </w:tc>
        <w:tc>
          <w:tcPr>
            <w:tcW w:w="2190" w:type="dxa"/>
            <w:shd w:val="clear" w:color="auto" w:fill="auto"/>
          </w:tcPr>
          <w:p w:rsidR="009A4449" w:rsidRDefault="009A4449" w:rsidP="00A000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OBSAHUJE</w:t>
            </w:r>
          </w:p>
        </w:tc>
        <w:tc>
          <w:tcPr>
            <w:tcW w:w="1273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  <w:tr w:rsidR="009A4449" w:rsidRPr="007375B5" w:rsidTr="00A000DC">
        <w:trPr>
          <w:cantSplit/>
        </w:trPr>
        <w:tc>
          <w:tcPr>
            <w:tcW w:w="5609" w:type="dxa"/>
            <w:shd w:val="clear" w:color="auto" w:fill="auto"/>
            <w:vAlign w:val="bottom"/>
          </w:tcPr>
          <w:p w:rsidR="009A4449" w:rsidRPr="009F711E" w:rsidRDefault="009A4449" w:rsidP="00A000D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zařízení (výrobce/typové označení)</w:t>
            </w:r>
          </w:p>
        </w:tc>
        <w:tc>
          <w:tcPr>
            <w:tcW w:w="2190" w:type="dxa"/>
            <w:shd w:val="clear" w:color="auto" w:fill="auto"/>
          </w:tcPr>
          <w:p w:rsidR="009A4449" w:rsidRDefault="009A4449" w:rsidP="00A000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3" w:type="dxa"/>
            <w:shd w:val="clear" w:color="auto" w:fill="auto"/>
          </w:tcPr>
          <w:p w:rsidR="009A4449" w:rsidRPr="007375B5" w:rsidRDefault="009A4449" w:rsidP="00A000DC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9A4449" w:rsidRDefault="009A4449" w:rsidP="009A4449"/>
    <w:p w:rsidR="009A4449" w:rsidRDefault="009A4449" w:rsidP="003E4114">
      <w:pPr>
        <w:jc w:val="both"/>
      </w:pPr>
      <w:r>
        <w:t>Požadujeme dodávku nových doposud nepoužitých zařízení. Zařízení musí být určená pro trh v ČR. Požadujeme pokrytí záruky na duby udržitelnosti projektu. Dodaná zařízení musí splňovat požadavky „Standardu konektivity“, který je nutno splnit v rámci realizované výzvy.</w:t>
      </w:r>
    </w:p>
    <w:p w:rsidR="003E4114" w:rsidRDefault="003E4114" w:rsidP="003E4114">
      <w:pPr>
        <w:jc w:val="both"/>
      </w:pPr>
    </w:p>
    <w:p w:rsidR="003E4114" w:rsidRDefault="003E4114" w:rsidP="003E4114">
      <w:pPr>
        <w:spacing w:after="0"/>
        <w:jc w:val="center"/>
        <w:rPr>
          <w:rFonts w:eastAsia="Times New Roman" w:cs="Calibri"/>
          <w:b/>
          <w:color w:val="000000"/>
          <w:lang w:eastAsia="cs-CZ"/>
        </w:rPr>
      </w:pPr>
      <w:r w:rsidRPr="003E4114">
        <w:rPr>
          <w:b/>
        </w:rPr>
        <w:t xml:space="preserve">Specifikace </w:t>
      </w:r>
      <w:r w:rsidRPr="003E4114">
        <w:rPr>
          <w:rFonts w:eastAsia="Times New Roman" w:cs="Calibri"/>
          <w:b/>
          <w:color w:val="000000"/>
          <w:lang w:eastAsia="cs-CZ"/>
        </w:rPr>
        <w:t xml:space="preserve">SW – server a SW </w:t>
      </w:r>
      <w:r>
        <w:rPr>
          <w:rFonts w:eastAsia="Times New Roman" w:cs="Calibri"/>
          <w:b/>
          <w:color w:val="000000"/>
          <w:lang w:eastAsia="cs-CZ"/>
        </w:rPr>
        <w:t>–</w:t>
      </w:r>
      <w:r w:rsidRPr="003E4114">
        <w:rPr>
          <w:rFonts w:eastAsia="Times New Roman" w:cs="Calibri"/>
          <w:b/>
          <w:color w:val="000000"/>
          <w:lang w:eastAsia="cs-CZ"/>
        </w:rPr>
        <w:t xml:space="preserve"> licence</w:t>
      </w:r>
    </w:p>
    <w:p w:rsidR="003E4114" w:rsidRDefault="003E4114" w:rsidP="003E4114">
      <w:pPr>
        <w:spacing w:after="0"/>
        <w:rPr>
          <w:rFonts w:eastAsia="Times New Roman" w:cs="Calibri"/>
          <w:b/>
          <w:color w:val="000000"/>
          <w:lang w:eastAsia="cs-CZ"/>
        </w:rPr>
      </w:pPr>
    </w:p>
    <w:p w:rsidR="003E4114" w:rsidRPr="003E4114" w:rsidRDefault="003E4114" w:rsidP="0051077E">
      <w:pPr>
        <w:spacing w:after="0"/>
        <w:jc w:val="both"/>
        <w:rPr>
          <w:rFonts w:eastAsia="Times New Roman" w:cs="Calibri"/>
          <w:color w:val="000000"/>
          <w:lang w:eastAsia="cs-CZ"/>
        </w:rPr>
      </w:pPr>
      <w:r w:rsidRPr="003E4114">
        <w:rPr>
          <w:rFonts w:eastAsia="Times New Roman" w:cs="Calibri"/>
          <w:color w:val="000000"/>
          <w:lang w:eastAsia="cs-CZ"/>
        </w:rPr>
        <w:t xml:space="preserve">Požadujeme </w:t>
      </w:r>
      <w:r>
        <w:rPr>
          <w:rFonts w:eastAsia="Times New Roman" w:cs="Calibri"/>
          <w:color w:val="000000"/>
          <w:lang w:eastAsia="cs-CZ"/>
        </w:rPr>
        <w:t xml:space="preserve">dodávku síťového operačního systému, plně kompatibilního se stávajícím prostředím školy. Požadujeme plnou kompatibilitu s MS Windows 2010 </w:t>
      </w:r>
      <w:proofErr w:type="spellStart"/>
      <w:r>
        <w:rPr>
          <w:rFonts w:eastAsia="Times New Roman" w:cs="Calibri"/>
          <w:color w:val="000000"/>
          <w:lang w:eastAsia="cs-CZ"/>
        </w:rPr>
        <w:t>Profesional</w:t>
      </w:r>
      <w:proofErr w:type="spellEnd"/>
      <w:r>
        <w:rPr>
          <w:rFonts w:eastAsia="Times New Roman" w:cs="Calibri"/>
          <w:color w:val="000000"/>
          <w:lang w:eastAsia="cs-CZ"/>
        </w:rPr>
        <w:t xml:space="preserve">, s řízením jednotné identity pomocí síťových služeb. </w:t>
      </w:r>
      <w:r w:rsidR="0051077E">
        <w:rPr>
          <w:rFonts w:eastAsia="Times New Roman" w:cs="Calibri"/>
          <w:color w:val="000000"/>
          <w:lang w:eastAsia="cs-CZ"/>
        </w:rPr>
        <w:t xml:space="preserve">Požadujeme podporu vnitřní CA, podporu vazeb typu RADIUS. Požadujeme dodávku licencí vázané na uživatele.  Uvedené SW musí podporovat běh aplikací jako je MS SQL 2019 Express a aplikací vyžadujících plnohodnotné prostředí MS Windows Server. Dodávka základního SW a licencí na zařízení, musí být jeden komplexně funkční celek. SW musí podporovat provoz ve virtuálním prostředí s HW podkladem 2 </w:t>
      </w:r>
      <w:proofErr w:type="spellStart"/>
      <w:r w:rsidR="0051077E">
        <w:rPr>
          <w:rFonts w:eastAsia="Times New Roman" w:cs="Calibri"/>
          <w:color w:val="000000"/>
          <w:lang w:eastAsia="cs-CZ"/>
        </w:rPr>
        <w:t>sockety</w:t>
      </w:r>
      <w:proofErr w:type="spellEnd"/>
      <w:r w:rsidR="0051077E">
        <w:rPr>
          <w:rFonts w:eastAsia="Times New Roman" w:cs="Calibri"/>
          <w:color w:val="000000"/>
          <w:lang w:eastAsia="cs-CZ"/>
        </w:rPr>
        <w:t xml:space="preserve"> / 16 jader</w:t>
      </w:r>
      <w:r w:rsidR="002D4503">
        <w:rPr>
          <w:rFonts w:eastAsia="Times New Roman" w:cs="Calibri"/>
          <w:color w:val="000000"/>
          <w:lang w:eastAsia="cs-CZ"/>
        </w:rPr>
        <w:t xml:space="preserve"> (každé CPU má 8 jader)</w:t>
      </w:r>
      <w:r w:rsidR="0051077E">
        <w:rPr>
          <w:rFonts w:eastAsia="Times New Roman" w:cs="Calibri"/>
          <w:color w:val="000000"/>
          <w:lang w:eastAsia="cs-CZ"/>
        </w:rPr>
        <w:t xml:space="preserve">. Požadujeme dodávku pokrývající provoz alespoň 4 virtuálních strojů. SW licence bude po dodání výhradním majetkem koncového uživatele. </w:t>
      </w:r>
    </w:p>
    <w:p w:rsidR="003E4114" w:rsidRDefault="003E4114" w:rsidP="003E4114">
      <w:pPr>
        <w:spacing w:after="0"/>
        <w:jc w:val="both"/>
        <w:rPr>
          <w:rFonts w:eastAsia="Times New Roman" w:cs="Calibri"/>
          <w:color w:val="000000"/>
          <w:lang w:eastAsia="cs-CZ"/>
        </w:rPr>
      </w:pPr>
    </w:p>
    <w:p w:rsidR="0051077E" w:rsidRDefault="0051077E" w:rsidP="0051077E">
      <w:pPr>
        <w:spacing w:after="0"/>
        <w:jc w:val="center"/>
        <w:rPr>
          <w:rFonts w:eastAsia="Times New Roman" w:cs="Calibri"/>
          <w:b/>
          <w:color w:val="000000"/>
          <w:lang w:eastAsia="cs-CZ"/>
        </w:rPr>
      </w:pPr>
      <w:r w:rsidRPr="003E4114">
        <w:rPr>
          <w:b/>
        </w:rPr>
        <w:t xml:space="preserve">Specifikace </w:t>
      </w:r>
      <w:r w:rsidRPr="0051077E">
        <w:rPr>
          <w:rFonts w:eastAsia="Times New Roman" w:cs="Calibri"/>
          <w:b/>
          <w:color w:val="000000"/>
          <w:lang w:eastAsia="cs-CZ"/>
        </w:rPr>
        <w:t>SW - antivirový systém</w:t>
      </w:r>
    </w:p>
    <w:p w:rsidR="0051077E" w:rsidRDefault="0051077E" w:rsidP="0051077E">
      <w:pPr>
        <w:spacing w:after="0"/>
        <w:jc w:val="center"/>
        <w:rPr>
          <w:rFonts w:eastAsia="Times New Roman" w:cs="Calibri"/>
          <w:b/>
          <w:color w:val="000000"/>
          <w:lang w:eastAsia="cs-CZ"/>
        </w:rPr>
      </w:pPr>
    </w:p>
    <w:p w:rsidR="0051077E" w:rsidRPr="0051077E" w:rsidRDefault="0051077E" w:rsidP="004B5CB6">
      <w:pPr>
        <w:spacing w:after="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Požadujeme dodávku potřebného počtu licencí antivirového systému pro prostředí školy. Požadujeme funkcionalitu antiviru a integrovaného Firewallu. Požadujeme dodávku antivirového řešení, které je plně kompatibilní se stávajícím systémem centrálního managem</w:t>
      </w:r>
      <w:r w:rsidR="002D4503">
        <w:rPr>
          <w:rFonts w:eastAsia="Times New Roman" w:cs="Calibri"/>
          <w:color w:val="000000"/>
          <w:lang w:eastAsia="cs-CZ"/>
        </w:rPr>
        <w:t>e</w:t>
      </w:r>
      <w:r>
        <w:rPr>
          <w:rFonts w:eastAsia="Times New Roman" w:cs="Calibri"/>
          <w:color w:val="000000"/>
          <w:lang w:eastAsia="cs-CZ"/>
        </w:rPr>
        <w:t>ntu od firmy ESET</w:t>
      </w:r>
      <w:r w:rsidR="004B5CB6">
        <w:rPr>
          <w:rFonts w:eastAsia="Times New Roman" w:cs="Calibri"/>
          <w:color w:val="000000"/>
          <w:lang w:eastAsia="cs-CZ"/>
        </w:rPr>
        <w:t>.</w:t>
      </w:r>
    </w:p>
    <w:p w:rsidR="0051077E" w:rsidRPr="003E4114" w:rsidRDefault="0051077E" w:rsidP="003E4114">
      <w:pPr>
        <w:spacing w:after="0"/>
        <w:jc w:val="both"/>
        <w:rPr>
          <w:rFonts w:eastAsia="Times New Roman" w:cs="Calibri"/>
          <w:color w:val="000000"/>
          <w:lang w:eastAsia="cs-CZ"/>
        </w:rPr>
      </w:pPr>
    </w:p>
    <w:p w:rsidR="003E4114" w:rsidRDefault="003E4114" w:rsidP="003E4114">
      <w:pPr>
        <w:jc w:val="both"/>
      </w:pPr>
    </w:p>
    <w:p w:rsidR="009A4449" w:rsidRPr="009A4449" w:rsidRDefault="009A4449" w:rsidP="009A4449">
      <w:pPr>
        <w:spacing w:after="0"/>
        <w:rPr>
          <w:b/>
        </w:rPr>
      </w:pPr>
    </w:p>
    <w:sectPr w:rsidR="009A4449" w:rsidRPr="009A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C9"/>
    <w:rsid w:val="002D4503"/>
    <w:rsid w:val="003E4114"/>
    <w:rsid w:val="0047429F"/>
    <w:rsid w:val="004B5CB6"/>
    <w:rsid w:val="0051077E"/>
    <w:rsid w:val="007E7924"/>
    <w:rsid w:val="009A4449"/>
    <w:rsid w:val="00C324C9"/>
    <w:rsid w:val="00C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B8D2-CB6A-4DA6-8EB6-CF57894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C9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24C9"/>
    <w:pPr>
      <w:spacing w:after="0" w:line="120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Žlůva</dc:creator>
  <cp:keywords/>
  <dc:description/>
  <cp:lastModifiedBy>Ivan Žlůva</cp:lastModifiedBy>
  <cp:revision>2</cp:revision>
  <dcterms:created xsi:type="dcterms:W3CDTF">2021-05-26T12:32:00Z</dcterms:created>
  <dcterms:modified xsi:type="dcterms:W3CDTF">2021-05-26T12:32:00Z</dcterms:modified>
</cp:coreProperties>
</file>