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79E" w:rsidRPr="00187657" w:rsidRDefault="00B8679E" w:rsidP="00B8679E">
      <w:pPr>
        <w:jc w:val="center"/>
        <w:rPr>
          <w:b/>
          <w:szCs w:val="24"/>
        </w:rPr>
      </w:pPr>
    </w:p>
    <w:p w:rsidR="00B8679E" w:rsidRPr="00187657" w:rsidRDefault="00B8679E" w:rsidP="00B8679E">
      <w:pPr>
        <w:jc w:val="center"/>
        <w:rPr>
          <w:b/>
          <w:sz w:val="28"/>
          <w:szCs w:val="28"/>
        </w:rPr>
      </w:pPr>
      <w:r w:rsidRPr="00187657">
        <w:rPr>
          <w:b/>
          <w:sz w:val="28"/>
          <w:szCs w:val="28"/>
        </w:rPr>
        <w:t>OBSAH</w:t>
      </w:r>
    </w:p>
    <w:p w:rsidR="00B8679E" w:rsidRPr="00187657" w:rsidRDefault="00B8679E" w:rsidP="00B8679E">
      <w:pPr>
        <w:jc w:val="center"/>
        <w:rPr>
          <w:b/>
          <w:szCs w:val="24"/>
        </w:rPr>
      </w:pPr>
    </w:p>
    <w:p w:rsidR="00B8679E" w:rsidRPr="00187657" w:rsidRDefault="00B8679E" w:rsidP="00B8679E">
      <w:pPr>
        <w:jc w:val="center"/>
        <w:rPr>
          <w:b/>
          <w:szCs w:val="24"/>
        </w:rPr>
      </w:pPr>
    </w:p>
    <w:p w:rsidR="00B8679E" w:rsidRPr="00187657" w:rsidRDefault="00B8679E" w:rsidP="00B8679E">
      <w:pPr>
        <w:jc w:val="center"/>
        <w:rPr>
          <w:b/>
          <w:szCs w:val="24"/>
        </w:rPr>
      </w:pPr>
    </w:p>
    <w:p w:rsidR="00D84BCB" w:rsidRPr="00D84BCB" w:rsidRDefault="00B8679E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r w:rsidRPr="00D84BCB">
        <w:rPr>
          <w:smallCaps w:val="0"/>
          <w:sz w:val="24"/>
          <w:szCs w:val="24"/>
        </w:rPr>
        <w:fldChar w:fldCharType="begin"/>
      </w:r>
      <w:r w:rsidRPr="00D84BCB">
        <w:rPr>
          <w:smallCaps w:val="0"/>
          <w:sz w:val="24"/>
          <w:szCs w:val="24"/>
        </w:rPr>
        <w:instrText xml:space="preserve"> TOC \o "1-3" \h \z </w:instrText>
      </w:r>
      <w:r w:rsidRPr="00D84BCB">
        <w:rPr>
          <w:smallCaps w:val="0"/>
          <w:sz w:val="24"/>
          <w:szCs w:val="24"/>
        </w:rPr>
        <w:fldChar w:fldCharType="separate"/>
      </w:r>
      <w:hyperlink w:anchor="_Toc517166853" w:history="1">
        <w:r w:rsidR="00D84BCB" w:rsidRPr="00D84BCB">
          <w:rPr>
            <w:rStyle w:val="Hypertextovodkaz"/>
            <w:noProof/>
            <w:sz w:val="24"/>
            <w:szCs w:val="24"/>
          </w:rPr>
          <w:t>A.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Popis stavby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_Toc517166853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2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4" w:history="1">
        <w:r w:rsidR="00D84BCB" w:rsidRPr="00D84BCB">
          <w:rPr>
            <w:rStyle w:val="Hypertextovodkaz"/>
            <w:noProof/>
            <w:sz w:val="24"/>
            <w:szCs w:val="24"/>
          </w:rPr>
          <w:t>B.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Podklady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_Toc517166854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2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5" w:history="1">
        <w:r w:rsidR="00D84BCB" w:rsidRPr="00D84BCB">
          <w:rPr>
            <w:rStyle w:val="Hypertextovodkaz"/>
            <w:noProof/>
            <w:sz w:val="24"/>
            <w:szCs w:val="24"/>
          </w:rPr>
          <w:t>C.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Použité normy a předpisy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_Toc517166855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2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6" w:history="1">
        <w:r w:rsidR="00D84BCB" w:rsidRPr="00D84BCB">
          <w:rPr>
            <w:rStyle w:val="Hypertextovodkaz"/>
            <w:noProof/>
            <w:sz w:val="24"/>
            <w:szCs w:val="24"/>
          </w:rPr>
          <w:t>D.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Odvodnění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_Toc517166856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3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 w:rsidP="00D84BCB">
      <w:pPr>
        <w:pStyle w:val="Obsah2"/>
        <w:ind w:left="851" w:hanging="567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7" w:history="1">
        <w:r w:rsidR="00D84BCB" w:rsidRPr="00D84BCB">
          <w:rPr>
            <w:rStyle w:val="Hypertextovodkaz"/>
            <w:b w:val="0"/>
            <w:noProof/>
            <w:sz w:val="24"/>
            <w:szCs w:val="24"/>
          </w:rPr>
          <w:t>D.1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b w:val="0"/>
            <w:noProof/>
            <w:sz w:val="24"/>
            <w:szCs w:val="24"/>
          </w:rPr>
          <w:t>Bilance odtoku odpadních dešťových vod</w:t>
        </w:r>
        <w:r w:rsidR="00D84BCB" w:rsidRPr="00D84BCB">
          <w:rPr>
            <w:b w:val="0"/>
            <w:noProof/>
            <w:webHidden/>
            <w:sz w:val="24"/>
            <w:szCs w:val="24"/>
          </w:rPr>
          <w:tab/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b w:val="0"/>
            <w:noProof/>
            <w:webHidden/>
            <w:sz w:val="24"/>
            <w:szCs w:val="24"/>
          </w:rPr>
          <w:instrText xml:space="preserve"> PAGEREF _Toc517166857 \h </w:instrText>
        </w:r>
        <w:r w:rsidR="00D84BCB" w:rsidRPr="00D84BCB">
          <w:rPr>
            <w:b w:val="0"/>
            <w:noProof/>
            <w:webHidden/>
            <w:sz w:val="24"/>
            <w:szCs w:val="24"/>
          </w:rPr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separate"/>
        </w:r>
        <w:r w:rsidR="000F156D">
          <w:rPr>
            <w:b w:val="0"/>
            <w:noProof/>
            <w:webHidden/>
            <w:sz w:val="24"/>
            <w:szCs w:val="24"/>
          </w:rPr>
          <w:t>3</w:t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 w:rsidP="00D84BCB">
      <w:pPr>
        <w:pStyle w:val="Obsah2"/>
        <w:ind w:left="851" w:hanging="567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8" w:history="1">
        <w:r w:rsidR="00D84BCB" w:rsidRPr="00D84BCB">
          <w:rPr>
            <w:rStyle w:val="Hypertextovodkaz"/>
            <w:b w:val="0"/>
            <w:noProof/>
            <w:sz w:val="24"/>
            <w:szCs w:val="24"/>
          </w:rPr>
          <w:t>D.2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b w:val="0"/>
            <w:noProof/>
            <w:sz w:val="24"/>
            <w:szCs w:val="24"/>
          </w:rPr>
          <w:t>Hydrogeologické podmínky</w:t>
        </w:r>
        <w:r w:rsidR="00D84BCB" w:rsidRPr="00D84BCB">
          <w:rPr>
            <w:b w:val="0"/>
            <w:noProof/>
            <w:webHidden/>
            <w:sz w:val="24"/>
            <w:szCs w:val="24"/>
          </w:rPr>
          <w:tab/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b w:val="0"/>
            <w:noProof/>
            <w:webHidden/>
            <w:sz w:val="24"/>
            <w:szCs w:val="24"/>
          </w:rPr>
          <w:instrText xml:space="preserve"> PAGEREF _Toc517166858 \h </w:instrText>
        </w:r>
        <w:r w:rsidR="00D84BCB" w:rsidRPr="00D84BCB">
          <w:rPr>
            <w:b w:val="0"/>
            <w:noProof/>
            <w:webHidden/>
            <w:sz w:val="24"/>
            <w:szCs w:val="24"/>
          </w:rPr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separate"/>
        </w:r>
        <w:r w:rsidR="000F156D">
          <w:rPr>
            <w:b w:val="0"/>
            <w:noProof/>
            <w:webHidden/>
            <w:sz w:val="24"/>
            <w:szCs w:val="24"/>
          </w:rPr>
          <w:t>3</w:t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 w:rsidP="00D84BCB">
      <w:pPr>
        <w:pStyle w:val="Obsah2"/>
        <w:ind w:left="851" w:hanging="567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59" w:history="1">
        <w:r w:rsidR="00D84BCB" w:rsidRPr="00D84BCB">
          <w:rPr>
            <w:rStyle w:val="Hypertextovodkaz"/>
            <w:b w:val="0"/>
            <w:noProof/>
            <w:sz w:val="24"/>
            <w:szCs w:val="24"/>
          </w:rPr>
          <w:t>D.3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b w:val="0"/>
            <w:noProof/>
            <w:sz w:val="24"/>
            <w:szCs w:val="24"/>
          </w:rPr>
          <w:t>Revizní šachty</w:t>
        </w:r>
        <w:r w:rsidR="00D84BCB" w:rsidRPr="00D84BCB">
          <w:rPr>
            <w:b w:val="0"/>
            <w:noProof/>
            <w:webHidden/>
            <w:sz w:val="24"/>
            <w:szCs w:val="24"/>
          </w:rPr>
          <w:tab/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b w:val="0"/>
            <w:noProof/>
            <w:webHidden/>
            <w:sz w:val="24"/>
            <w:szCs w:val="24"/>
          </w:rPr>
          <w:instrText xml:space="preserve"> PAGEREF _Toc517166859 \h </w:instrText>
        </w:r>
        <w:r w:rsidR="00D84BCB" w:rsidRPr="00D84BCB">
          <w:rPr>
            <w:b w:val="0"/>
            <w:noProof/>
            <w:webHidden/>
            <w:sz w:val="24"/>
            <w:szCs w:val="24"/>
          </w:rPr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separate"/>
        </w:r>
        <w:r w:rsidR="000F156D">
          <w:rPr>
            <w:b w:val="0"/>
            <w:noProof/>
            <w:webHidden/>
            <w:sz w:val="24"/>
            <w:szCs w:val="24"/>
          </w:rPr>
          <w:t>4</w:t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 w:rsidP="00D84BCB">
      <w:pPr>
        <w:pStyle w:val="Obsah2"/>
        <w:ind w:left="851" w:hanging="567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60" w:history="1">
        <w:r w:rsidR="00D84BCB" w:rsidRPr="00D84BCB">
          <w:rPr>
            <w:rStyle w:val="Hypertextovodkaz"/>
            <w:b w:val="0"/>
            <w:noProof/>
            <w:sz w:val="24"/>
            <w:szCs w:val="24"/>
          </w:rPr>
          <w:t>D.4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b w:val="0"/>
            <w:noProof/>
            <w:sz w:val="24"/>
            <w:szCs w:val="24"/>
          </w:rPr>
          <w:t>Uložení potrubí</w:t>
        </w:r>
        <w:r w:rsidR="00D84BCB" w:rsidRPr="00D84BCB">
          <w:rPr>
            <w:b w:val="0"/>
            <w:noProof/>
            <w:webHidden/>
            <w:sz w:val="24"/>
            <w:szCs w:val="24"/>
          </w:rPr>
          <w:tab/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b w:val="0"/>
            <w:noProof/>
            <w:webHidden/>
            <w:sz w:val="24"/>
            <w:szCs w:val="24"/>
          </w:rPr>
          <w:instrText xml:space="preserve"> PAGEREF _Toc517166860 \h </w:instrText>
        </w:r>
        <w:r w:rsidR="00D84BCB" w:rsidRPr="00D84BCB">
          <w:rPr>
            <w:b w:val="0"/>
            <w:noProof/>
            <w:webHidden/>
            <w:sz w:val="24"/>
            <w:szCs w:val="24"/>
          </w:rPr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separate"/>
        </w:r>
        <w:r w:rsidR="000F156D">
          <w:rPr>
            <w:b w:val="0"/>
            <w:noProof/>
            <w:webHidden/>
            <w:sz w:val="24"/>
            <w:szCs w:val="24"/>
          </w:rPr>
          <w:t>4</w:t>
        </w:r>
        <w:r w:rsidR="00D84BCB" w:rsidRPr="00D84BCB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61" w:history="1">
        <w:r w:rsidR="00D84BCB" w:rsidRPr="00D84BCB">
          <w:rPr>
            <w:rStyle w:val="Hypertextovodkaz"/>
            <w:noProof/>
            <w:sz w:val="24"/>
            <w:szCs w:val="24"/>
          </w:rPr>
          <w:t>E.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Bezpečnost práce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_Toc517166861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4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62" w:history="1">
        <w:r w:rsidR="00D84BCB" w:rsidRPr="00D84BCB">
          <w:rPr>
            <w:rStyle w:val="Hypertextovodkaz"/>
            <w:noProof/>
            <w:sz w:val="24"/>
            <w:szCs w:val="24"/>
          </w:rPr>
          <w:t>F.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Nakládání s odpady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_Toc517166862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5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D84BCB" w:rsidRPr="00D84BCB" w:rsidRDefault="003F42BA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7166863" w:history="1">
        <w:r w:rsidR="00D84BCB" w:rsidRPr="00D84BCB">
          <w:rPr>
            <w:rStyle w:val="Hypertextovodkaz"/>
            <w:noProof/>
            <w:sz w:val="24"/>
            <w:szCs w:val="24"/>
          </w:rPr>
          <w:t>G.</w:t>
        </w:r>
        <w:r w:rsidR="00D84BCB" w:rsidRPr="00D84BCB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D84BCB" w:rsidRPr="00D84BCB">
          <w:rPr>
            <w:rStyle w:val="Hypertextovodkaz"/>
            <w:noProof/>
            <w:sz w:val="24"/>
            <w:szCs w:val="24"/>
          </w:rPr>
          <w:t>Zvláštní požadavky a podmínky</w:t>
        </w:r>
        <w:r w:rsidR="00D84BCB" w:rsidRPr="00D84BCB">
          <w:rPr>
            <w:noProof/>
            <w:webHidden/>
            <w:sz w:val="24"/>
            <w:szCs w:val="24"/>
          </w:rPr>
          <w:tab/>
        </w:r>
        <w:r w:rsidR="00D84BCB" w:rsidRPr="00D84BCB">
          <w:rPr>
            <w:noProof/>
            <w:webHidden/>
            <w:sz w:val="24"/>
            <w:szCs w:val="24"/>
          </w:rPr>
          <w:fldChar w:fldCharType="begin"/>
        </w:r>
        <w:r w:rsidR="00D84BCB" w:rsidRPr="00D84BCB">
          <w:rPr>
            <w:noProof/>
            <w:webHidden/>
            <w:sz w:val="24"/>
            <w:szCs w:val="24"/>
          </w:rPr>
          <w:instrText xml:space="preserve"> PAGEREF _Toc517166863 \h </w:instrText>
        </w:r>
        <w:r w:rsidR="00D84BCB" w:rsidRPr="00D84BCB">
          <w:rPr>
            <w:noProof/>
            <w:webHidden/>
            <w:sz w:val="24"/>
            <w:szCs w:val="24"/>
          </w:rPr>
        </w:r>
        <w:r w:rsidR="00D84BCB" w:rsidRPr="00D84BCB">
          <w:rPr>
            <w:noProof/>
            <w:webHidden/>
            <w:sz w:val="24"/>
            <w:szCs w:val="24"/>
          </w:rPr>
          <w:fldChar w:fldCharType="separate"/>
        </w:r>
        <w:r w:rsidR="000F156D">
          <w:rPr>
            <w:noProof/>
            <w:webHidden/>
            <w:sz w:val="24"/>
            <w:szCs w:val="24"/>
          </w:rPr>
          <w:t>6</w:t>
        </w:r>
        <w:r w:rsidR="00D84BCB" w:rsidRPr="00D84BCB">
          <w:rPr>
            <w:noProof/>
            <w:webHidden/>
            <w:sz w:val="24"/>
            <w:szCs w:val="24"/>
          </w:rPr>
          <w:fldChar w:fldCharType="end"/>
        </w:r>
      </w:hyperlink>
    </w:p>
    <w:p w:rsidR="00B8679E" w:rsidRPr="00187657" w:rsidRDefault="00B8679E" w:rsidP="00187657">
      <w:pPr>
        <w:tabs>
          <w:tab w:val="left" w:pos="3015"/>
        </w:tabs>
        <w:spacing w:before="120" w:after="120"/>
        <w:ind w:left="426" w:hanging="426"/>
        <w:rPr>
          <w:szCs w:val="24"/>
        </w:rPr>
      </w:pPr>
      <w:r w:rsidRPr="00D84BCB">
        <w:rPr>
          <w:b/>
          <w:bCs/>
          <w:szCs w:val="24"/>
          <w:u w:val="single"/>
        </w:rPr>
        <w:fldChar w:fldCharType="end"/>
      </w: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0" w:name="_GoBack"/>
      <w:bookmarkEnd w:id="0"/>
      <w:r w:rsidRPr="00187657">
        <w:rPr>
          <w:szCs w:val="24"/>
        </w:rPr>
        <w:br w:type="page"/>
      </w:r>
      <w:bookmarkStart w:id="1" w:name="_Toc517166853"/>
      <w:r w:rsidRPr="00187657">
        <w:rPr>
          <w:szCs w:val="24"/>
        </w:rPr>
        <w:lastRenderedPageBreak/>
        <w:t>Popis stavby</w:t>
      </w:r>
      <w:bookmarkEnd w:id="1"/>
    </w:p>
    <w:p w:rsidR="00773A1F" w:rsidRDefault="00773A1F" w:rsidP="00773A1F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 xml:space="preserve">V projektové dokumentaci stavební objektu SO 07.3 se řeší odvádění a nakládání s odpadními dešťovými vodami z přístavby. Dešťové odpadní vody budou odváděny gravitačně do retenčního objektu z voštinových bloků. Před retenčním objektem bude osazena sedimentační </w:t>
      </w:r>
      <w:r w:rsidR="007027E5">
        <w:rPr>
          <w:szCs w:val="24"/>
        </w:rPr>
        <w:t>nádrž, z</w:t>
      </w:r>
      <w:r>
        <w:rPr>
          <w:szCs w:val="24"/>
        </w:rPr>
        <w:t xml:space="preserve">a </w:t>
      </w:r>
      <w:r w:rsidR="007027E5">
        <w:rPr>
          <w:szCs w:val="24"/>
        </w:rPr>
        <w:t xml:space="preserve">retenčním (vsakovacím) objektem bude </w:t>
      </w:r>
      <w:r>
        <w:rPr>
          <w:szCs w:val="24"/>
        </w:rPr>
        <w:t xml:space="preserve">čerpací šachta, ze které budou dešťové vody </w:t>
      </w:r>
      <w:r w:rsidR="007027E5">
        <w:rPr>
          <w:szCs w:val="24"/>
        </w:rPr>
        <w:t>čerpány</w:t>
      </w:r>
      <w:r w:rsidR="007027E5">
        <w:rPr>
          <w:szCs w:val="24"/>
        </w:rPr>
        <w:t xml:space="preserve"> do suchého poldru</w:t>
      </w:r>
      <w:r>
        <w:rPr>
          <w:szCs w:val="24"/>
        </w:rPr>
        <w:t>.</w:t>
      </w:r>
      <w:r w:rsidR="007027E5">
        <w:rPr>
          <w:szCs w:val="24"/>
        </w:rPr>
        <w:t xml:space="preserve"> Před suchým poldrem bude osazena uklidňovací šachta.</w:t>
      </w:r>
    </w:p>
    <w:p w:rsidR="007027E5" w:rsidRDefault="007027E5" w:rsidP="00773A1F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 xml:space="preserve">Poldr bude proveden zářezem do stávajícího terénu v hloubce cca 0,5m a osazen trávou. Dešťové vody budou ústiti do poldru gravitačně z uklidňovací šachty v místě vyústění provedeného z lomového kamene v betonovém loži a betonovým spárováním. </w:t>
      </w:r>
    </w:p>
    <w:p w:rsidR="00773A1F" w:rsidRDefault="00773A1F" w:rsidP="00773A1F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 xml:space="preserve">Kanalizace bude provedena z plastových trub </w:t>
      </w:r>
      <w:r w:rsidR="007027E5">
        <w:rPr>
          <w:szCs w:val="24"/>
        </w:rPr>
        <w:t>PVC</w:t>
      </w:r>
      <w:r>
        <w:rPr>
          <w:szCs w:val="24"/>
        </w:rPr>
        <w:t xml:space="preserve"> DN250</w:t>
      </w:r>
      <w:r w:rsidR="007027E5">
        <w:rPr>
          <w:szCs w:val="24"/>
        </w:rPr>
        <w:t xml:space="preserve"> v úseku větve DŠ5 – DŠ5a. v tomto úseku bude potrubí uloženo na pískové lože a obetonováno. Hlavní větev dešťové kanalizace „D“ bude provedena z betonových trub DN300 a DN400 s uložením do pískového lože a štěrkopískovým obsypem.</w:t>
      </w:r>
    </w:p>
    <w:p w:rsidR="000F156D" w:rsidRDefault="000F156D" w:rsidP="00773A1F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 xml:space="preserve">Čerpací šachta s nátokem </w:t>
      </w:r>
      <w:r>
        <w:rPr>
          <w:szCs w:val="24"/>
        </w:rPr>
        <w:t>44</w:t>
      </w:r>
      <w:r>
        <w:rPr>
          <w:szCs w:val="24"/>
        </w:rPr>
        <w:t xml:space="preserve">L/s bude vystrojena </w:t>
      </w:r>
      <w:r>
        <w:rPr>
          <w:szCs w:val="24"/>
        </w:rPr>
        <w:t xml:space="preserve">kalovou </w:t>
      </w:r>
      <w:r>
        <w:rPr>
          <w:szCs w:val="24"/>
        </w:rPr>
        <w:t>čerpací jednotkou. Dodavatel stavebního objektu musí nechat zpracovat výrobní dokumentaci čerpací šachty. Šachta bude hluboká cca 5,0m a její velká část je umístěna pod hladinou podzemní vody.</w:t>
      </w:r>
    </w:p>
    <w:p w:rsidR="003F7DC7" w:rsidRDefault="00E231FC" w:rsidP="00270301">
      <w:pPr>
        <w:pStyle w:val="Zkladntext"/>
        <w:spacing w:before="120"/>
        <w:ind w:firstLine="720"/>
        <w:jc w:val="left"/>
        <w:rPr>
          <w:szCs w:val="24"/>
        </w:rPr>
      </w:pPr>
      <w:r>
        <w:rPr>
          <w:szCs w:val="24"/>
        </w:rPr>
        <w:t>Retenční objekt ze vsakovacích voštinových bloků</w:t>
      </w:r>
      <w:r w:rsidR="003F7DC7" w:rsidRPr="004504EA">
        <w:rPr>
          <w:szCs w:val="24"/>
        </w:rPr>
        <w:t xml:space="preserve"> bude uložen na štěrkové lože frakce </w:t>
      </w:r>
      <w:proofErr w:type="gramStart"/>
      <w:r w:rsidR="003F7DC7">
        <w:rPr>
          <w:szCs w:val="24"/>
        </w:rPr>
        <w:t>4-8</w:t>
      </w:r>
      <w:r w:rsidR="003F7DC7" w:rsidRPr="004504EA">
        <w:rPr>
          <w:szCs w:val="24"/>
        </w:rPr>
        <w:t>mm</w:t>
      </w:r>
      <w:proofErr w:type="gramEnd"/>
      <w:r w:rsidR="003F7DC7" w:rsidRPr="004504EA">
        <w:rPr>
          <w:szCs w:val="24"/>
        </w:rPr>
        <w:t xml:space="preserve">. Tloušťka lože bude </w:t>
      </w:r>
      <w:r w:rsidR="003F7DC7">
        <w:rPr>
          <w:szCs w:val="24"/>
        </w:rPr>
        <w:t>15</w:t>
      </w:r>
      <w:r w:rsidR="003F7DC7" w:rsidRPr="004504EA">
        <w:rPr>
          <w:szCs w:val="24"/>
        </w:rPr>
        <w:t xml:space="preserve">0mm. </w:t>
      </w:r>
      <w:r w:rsidR="003F7DC7">
        <w:rPr>
          <w:szCs w:val="24"/>
        </w:rPr>
        <w:t xml:space="preserve">Na toto lože bude na geotextílii uloženo drenážní potrubí </w:t>
      </w:r>
      <w:r w:rsidR="007027E5">
        <w:rPr>
          <w:szCs w:val="24"/>
        </w:rPr>
        <w:t xml:space="preserve">3x DN150 </w:t>
      </w:r>
      <w:r w:rsidR="003F7DC7">
        <w:rPr>
          <w:szCs w:val="24"/>
        </w:rPr>
        <w:t xml:space="preserve">ve štěrkovém obsypu frakce </w:t>
      </w:r>
      <w:proofErr w:type="gramStart"/>
      <w:r w:rsidR="003F7DC7">
        <w:rPr>
          <w:szCs w:val="24"/>
        </w:rPr>
        <w:t>32-64mm</w:t>
      </w:r>
      <w:proofErr w:type="gramEnd"/>
      <w:r w:rsidR="007027E5">
        <w:rPr>
          <w:szCs w:val="24"/>
        </w:rPr>
        <w:t xml:space="preserve"> o </w:t>
      </w:r>
      <w:proofErr w:type="spellStart"/>
      <w:r w:rsidR="007027E5">
        <w:rPr>
          <w:szCs w:val="24"/>
        </w:rPr>
        <w:t>celkévé</w:t>
      </w:r>
      <w:proofErr w:type="spellEnd"/>
      <w:r w:rsidR="007027E5">
        <w:rPr>
          <w:szCs w:val="24"/>
        </w:rPr>
        <w:t xml:space="preserve"> tloušťce 400mm</w:t>
      </w:r>
      <w:r w:rsidR="003F7DC7">
        <w:rPr>
          <w:szCs w:val="24"/>
        </w:rPr>
        <w:t xml:space="preserve">. </w:t>
      </w:r>
      <w:r w:rsidR="003F7DC7" w:rsidRPr="004504EA">
        <w:rPr>
          <w:szCs w:val="24"/>
        </w:rPr>
        <w:t xml:space="preserve">Na </w:t>
      </w:r>
      <w:r w:rsidR="003F7DC7">
        <w:rPr>
          <w:szCs w:val="24"/>
        </w:rPr>
        <w:t>obsyp</w:t>
      </w:r>
      <w:r w:rsidR="003F7DC7" w:rsidRPr="004504EA">
        <w:rPr>
          <w:szCs w:val="24"/>
        </w:rPr>
        <w:t xml:space="preserve"> budou vyskládány a pospojovány do vsakovacího objektu voštinové bloky 1,2x0,6x0,</w:t>
      </w:r>
      <w:r w:rsidR="007027E5">
        <w:rPr>
          <w:szCs w:val="24"/>
        </w:rPr>
        <w:t>41</w:t>
      </w:r>
      <w:r w:rsidR="003F7DC7" w:rsidRPr="004504EA">
        <w:rPr>
          <w:szCs w:val="24"/>
        </w:rPr>
        <w:t xml:space="preserve">. Vsakovací objekt bude tvořen celkem </w:t>
      </w:r>
      <w:r>
        <w:rPr>
          <w:szCs w:val="24"/>
        </w:rPr>
        <w:t>40</w:t>
      </w:r>
      <w:r w:rsidR="003F7DC7" w:rsidRPr="004504EA">
        <w:rPr>
          <w:szCs w:val="24"/>
        </w:rPr>
        <w:t xml:space="preserve"> bloky ve dvou řadách nad sebou o celkovém rozměru </w:t>
      </w:r>
      <w:r>
        <w:rPr>
          <w:szCs w:val="24"/>
        </w:rPr>
        <w:t>6,0</w:t>
      </w:r>
      <w:r w:rsidR="003F7DC7" w:rsidRPr="004504EA">
        <w:rPr>
          <w:szCs w:val="24"/>
        </w:rPr>
        <w:t>x</w:t>
      </w:r>
      <w:r w:rsidR="003F7DC7">
        <w:rPr>
          <w:szCs w:val="24"/>
        </w:rPr>
        <w:t>4</w:t>
      </w:r>
      <w:r w:rsidR="003F7DC7" w:rsidRPr="004504EA">
        <w:rPr>
          <w:szCs w:val="24"/>
        </w:rPr>
        <w:t>,8x</w:t>
      </w:r>
      <w:r w:rsidR="00ED5D08">
        <w:rPr>
          <w:szCs w:val="24"/>
        </w:rPr>
        <w:t>0,</w:t>
      </w:r>
      <w:proofErr w:type="gramStart"/>
      <w:r w:rsidR="00ED5D08">
        <w:rPr>
          <w:szCs w:val="24"/>
        </w:rPr>
        <w:t>82</w:t>
      </w:r>
      <w:r w:rsidR="003F7DC7" w:rsidRPr="004504EA">
        <w:rPr>
          <w:szCs w:val="24"/>
        </w:rPr>
        <w:t>m</w:t>
      </w:r>
      <w:proofErr w:type="gramEnd"/>
      <w:r w:rsidR="003F7DC7" w:rsidRPr="004504EA">
        <w:rPr>
          <w:szCs w:val="24"/>
        </w:rPr>
        <w:t xml:space="preserve">. Celý vsakovací objekt bude obalen filtrační geotextílií gramáž minimálně </w:t>
      </w:r>
      <w:r w:rsidR="003F7DC7">
        <w:rPr>
          <w:szCs w:val="24"/>
        </w:rPr>
        <w:t>5</w:t>
      </w:r>
      <w:r w:rsidR="003F7DC7" w:rsidRPr="004504EA">
        <w:rPr>
          <w:szCs w:val="24"/>
        </w:rPr>
        <w:t>00g/m</w:t>
      </w:r>
      <w:r w:rsidR="003F7DC7" w:rsidRPr="004504EA">
        <w:rPr>
          <w:szCs w:val="24"/>
          <w:vertAlign w:val="superscript"/>
        </w:rPr>
        <w:t>2</w:t>
      </w:r>
      <w:r w:rsidR="003F7DC7" w:rsidRPr="004504EA">
        <w:rPr>
          <w:szCs w:val="24"/>
        </w:rPr>
        <w:t xml:space="preserve">. Vsakovací objekt musí mít odvzdušňovací potrubí </w:t>
      </w:r>
      <w:r w:rsidR="00ED5D08">
        <w:rPr>
          <w:szCs w:val="24"/>
        </w:rPr>
        <w:t xml:space="preserve">2x DN100 </w:t>
      </w:r>
      <w:r w:rsidR="003F7DC7" w:rsidRPr="004504EA">
        <w:rPr>
          <w:szCs w:val="24"/>
        </w:rPr>
        <w:t xml:space="preserve">zaústěné </w:t>
      </w:r>
      <w:r w:rsidR="003F7DC7">
        <w:rPr>
          <w:szCs w:val="24"/>
        </w:rPr>
        <w:t>do šachty</w:t>
      </w:r>
      <w:r w:rsidR="003F7DC7" w:rsidRPr="004504EA">
        <w:rPr>
          <w:szCs w:val="24"/>
        </w:rPr>
        <w:t xml:space="preserve">. </w:t>
      </w:r>
      <w:r w:rsidR="003F7DC7">
        <w:rPr>
          <w:szCs w:val="24"/>
        </w:rPr>
        <w:t>Odvzdušňovací potrubí bude uloženo do štěrkového lože</w:t>
      </w:r>
      <w:r w:rsidR="00270301">
        <w:rPr>
          <w:szCs w:val="24"/>
        </w:rPr>
        <w:t xml:space="preserve"> z kameniva frakce </w:t>
      </w:r>
      <w:proofErr w:type="gramStart"/>
      <w:r w:rsidR="00270301">
        <w:rPr>
          <w:szCs w:val="24"/>
        </w:rPr>
        <w:t>32-64mm</w:t>
      </w:r>
      <w:proofErr w:type="gramEnd"/>
      <w:r w:rsidR="00ED5D08">
        <w:rPr>
          <w:szCs w:val="24"/>
        </w:rPr>
        <w:t xml:space="preserve"> o celkové tloušťce 300mm</w:t>
      </w:r>
      <w:r w:rsidR="003F7DC7" w:rsidRPr="004504EA">
        <w:rPr>
          <w:szCs w:val="24"/>
        </w:rPr>
        <w:t>.</w:t>
      </w:r>
    </w:p>
    <w:p w:rsidR="00ED5D08" w:rsidRPr="00ED5D08" w:rsidRDefault="00ED5D08" w:rsidP="00270301">
      <w:pPr>
        <w:pStyle w:val="Zkladntext"/>
        <w:spacing w:before="120"/>
        <w:ind w:firstLine="720"/>
        <w:jc w:val="left"/>
        <w:rPr>
          <w:szCs w:val="24"/>
          <w:u w:val="single"/>
        </w:rPr>
      </w:pPr>
      <w:r w:rsidRPr="00ED5D08">
        <w:rPr>
          <w:szCs w:val="24"/>
          <w:u w:val="single"/>
        </w:rPr>
        <w:t>Voštinové bloky budou se zvýšenou únosností pro zásyp cca 2,5m.</w:t>
      </w:r>
    </w:p>
    <w:p w:rsidR="00B8679E" w:rsidRPr="00187657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2" w:name="_Toc517166854"/>
      <w:r w:rsidRPr="00187657">
        <w:rPr>
          <w:szCs w:val="24"/>
        </w:rPr>
        <w:t>Podklady</w:t>
      </w:r>
      <w:bookmarkEnd w:id="2"/>
    </w:p>
    <w:p w:rsidR="00B8679E" w:rsidRPr="00187657" w:rsidRDefault="00270301" w:rsidP="00B8679E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>Podkladem pro zpracování byly stavební výkresy objekt</w:t>
      </w:r>
      <w:r>
        <w:rPr>
          <w:szCs w:val="24"/>
        </w:rPr>
        <w:t>ů</w:t>
      </w:r>
      <w:r w:rsidRPr="002622D8">
        <w:rPr>
          <w:szCs w:val="24"/>
        </w:rPr>
        <w:t xml:space="preserve">, </w:t>
      </w:r>
      <w:r>
        <w:rPr>
          <w:szCs w:val="24"/>
        </w:rPr>
        <w:t>podklady stávajících sítí předané investorem</w:t>
      </w:r>
      <w:r w:rsidRPr="002622D8">
        <w:rPr>
          <w:szCs w:val="24"/>
        </w:rPr>
        <w:t xml:space="preserve">, </w:t>
      </w:r>
      <w:r>
        <w:rPr>
          <w:szCs w:val="24"/>
        </w:rPr>
        <w:t>požadavky investora</w:t>
      </w:r>
      <w:r w:rsidRPr="002622D8">
        <w:rPr>
          <w:szCs w:val="24"/>
        </w:rPr>
        <w:t xml:space="preserve"> a parametry předané zpracovateli návazných profesí.</w:t>
      </w:r>
    </w:p>
    <w:p w:rsidR="00B8679E" w:rsidRPr="00187657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3" w:name="_Toc517166855"/>
      <w:r w:rsidRPr="00187657">
        <w:rPr>
          <w:szCs w:val="24"/>
        </w:rPr>
        <w:t>Použité normy a předpisy</w:t>
      </w:r>
      <w:bookmarkEnd w:id="3"/>
    </w:p>
    <w:p w:rsidR="00B8679E" w:rsidRPr="00187657" w:rsidRDefault="00B8679E" w:rsidP="00B8679E">
      <w:pPr>
        <w:pStyle w:val="Zkladntext"/>
        <w:spacing w:before="120"/>
        <w:ind w:firstLine="720"/>
        <w:rPr>
          <w:szCs w:val="24"/>
        </w:rPr>
      </w:pPr>
      <w:r w:rsidRPr="00187657">
        <w:rPr>
          <w:szCs w:val="24"/>
        </w:rPr>
        <w:t xml:space="preserve">Při návrhu byly použity normy a předpisy platné v době zpracování návrhu. </w:t>
      </w:r>
    </w:p>
    <w:p w:rsidR="00B8679E" w:rsidRPr="00187657" w:rsidRDefault="00B8679E" w:rsidP="00B8679E">
      <w:pPr>
        <w:pStyle w:val="Zkladntext"/>
        <w:spacing w:before="120"/>
        <w:ind w:firstLine="709"/>
        <w:rPr>
          <w:szCs w:val="24"/>
        </w:rPr>
      </w:pPr>
      <w:r w:rsidRPr="00187657">
        <w:rPr>
          <w:szCs w:val="24"/>
        </w:rPr>
        <w:t>Při provádění stavebních prací je nutno dbát všech ustanovení ČSN, zejména</w:t>
      </w:r>
    </w:p>
    <w:p w:rsidR="00B8679E" w:rsidRPr="00187657" w:rsidRDefault="00B8679E" w:rsidP="00B8679E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187657">
        <w:rPr>
          <w:szCs w:val="24"/>
        </w:rPr>
        <w:t>-</w:t>
      </w:r>
      <w:r w:rsidRPr="00187657">
        <w:rPr>
          <w:szCs w:val="24"/>
        </w:rPr>
        <w:tab/>
        <w:t>ČSN 75 6760 (ČSN EN 12056-1-5) Vnitřní kanalizace (Vnitřní kanalizace – gravitační systémy – část 1: Všeobecné a funkční požadavky, část 2: Odvádění splaškových vod – Navrhování a výpočet, část 3: Odvádění dešťových vod – Navrhování a výpočet, část 4: Čerpací stanice odpadních vod – Navrhování a výpočet, část 5: Instalace a zkoušení, pokyny pro provoz, údržbu a používání)</w:t>
      </w:r>
    </w:p>
    <w:p w:rsidR="00B8679E" w:rsidRPr="00187657" w:rsidRDefault="00B8679E" w:rsidP="00B8679E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187657">
        <w:rPr>
          <w:szCs w:val="24"/>
        </w:rPr>
        <w:t>-</w:t>
      </w:r>
      <w:r w:rsidRPr="00187657">
        <w:rPr>
          <w:szCs w:val="24"/>
        </w:rPr>
        <w:tab/>
        <w:t>ČSN 75 9010 Vsakovací zařízení srážkových vod</w:t>
      </w:r>
    </w:p>
    <w:p w:rsidR="00B8679E" w:rsidRPr="00187657" w:rsidRDefault="00B8679E" w:rsidP="00B8679E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187657">
        <w:rPr>
          <w:szCs w:val="24"/>
        </w:rPr>
        <w:lastRenderedPageBreak/>
        <w:t>-</w:t>
      </w:r>
      <w:r w:rsidRPr="00187657">
        <w:rPr>
          <w:szCs w:val="24"/>
        </w:rPr>
        <w:tab/>
        <w:t>ČSN 75 6101 Stokové sítě a kanalizační přípojky</w:t>
      </w:r>
    </w:p>
    <w:p w:rsidR="00B8679E" w:rsidRPr="00187657" w:rsidRDefault="00B8679E" w:rsidP="00B8679E">
      <w:pPr>
        <w:pStyle w:val="Zkladntext"/>
        <w:spacing w:before="120"/>
        <w:ind w:firstLine="709"/>
        <w:rPr>
          <w:szCs w:val="24"/>
        </w:rPr>
      </w:pPr>
      <w:r w:rsidRPr="00187657">
        <w:rPr>
          <w:szCs w:val="24"/>
        </w:rPr>
        <w:t>a dodržovat platné související bezpečnostní předpisy.</w:t>
      </w:r>
    </w:p>
    <w:p w:rsidR="006A76CF" w:rsidRDefault="006A76CF" w:rsidP="006A76CF">
      <w:pPr>
        <w:pStyle w:val="Zkladntext"/>
        <w:spacing w:before="120"/>
        <w:ind w:firstLine="709"/>
        <w:jc w:val="left"/>
        <w:rPr>
          <w:snapToGrid/>
          <w:szCs w:val="24"/>
        </w:rPr>
      </w:pPr>
      <w:r>
        <w:rPr>
          <w:szCs w:val="24"/>
        </w:rPr>
        <w:t>Při provádění stavebně montážních a stavebních prací je nutno dodržovat technologické předpisy výrobců jednotlivých materiálů a zařízení. Dále je nutné dodržovat veškeré obecné požadavky na výstavbu a to zejména: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 xml:space="preserve">- </w:t>
      </w:r>
      <w:r>
        <w:rPr>
          <w:szCs w:val="24"/>
        </w:rPr>
        <w:tab/>
        <w:t>ustanovení vyhlášky č. 268/2009 Sb., o obecných technických požadavcích na výstavbu včetně pozdějších znění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vyhlášky č. 405/2017 Sb., kterou se provádějí některá ustanovení stavebního zákona ve věcech stavebního řádu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o bezpečnosti práce a technických zařízení při stavebních pracích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ab/>
        <w:t>(vyhláška č. 601/2006 Sb., NV č. 591/2006 Sb. včetně pozdějších znění)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zákona č. 133/1985 Sb., o požární ochraně a vyhláška č. 246/2001 Sb. včetně pozdějších znění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zákona č. 22/1997 Sb., o technických požadavcích na výrobky a o změně a doplnění některých zákonů včetně pozdějších znění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nařízení vlády č.163/2002 Sb., kterým se stanoví technické požadavky na vybrané stavební výrobky včetně pozdějších znění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zákona č. 273/2010 Sb., zákon o vodách</w:t>
      </w:r>
    </w:p>
    <w:p w:rsidR="006A76CF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ustanovení zákona č. 274/2001 Sb., o vodovodech a kanalizacích pro veřejnou potřebu</w:t>
      </w:r>
    </w:p>
    <w:p w:rsidR="00B8679E" w:rsidRPr="00187657" w:rsidRDefault="006A76CF" w:rsidP="006A76C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požadavků stanovených ekologickými a jinými předpisy, vydanými k tomu oprávněnými orgány</w:t>
      </w:r>
    </w:p>
    <w:p w:rsidR="00B8679E" w:rsidRPr="00187657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4" w:name="_Toc517166856"/>
      <w:r w:rsidRPr="00187657">
        <w:rPr>
          <w:szCs w:val="24"/>
        </w:rPr>
        <w:t>Odvodnění</w:t>
      </w:r>
      <w:bookmarkEnd w:id="4"/>
    </w:p>
    <w:p w:rsidR="00B8679E" w:rsidRPr="00187657" w:rsidRDefault="00B8679E" w:rsidP="0018765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5" w:name="_Toc517166857"/>
      <w:r w:rsidRPr="00187657">
        <w:rPr>
          <w:b w:val="0"/>
          <w:szCs w:val="24"/>
          <w:u w:val="single"/>
        </w:rPr>
        <w:t>Bilance odtoku odpadních dešťových vod</w:t>
      </w:r>
      <w:bookmarkEnd w:id="5"/>
    </w:p>
    <w:p w:rsidR="00B8679E" w:rsidRDefault="00B8679E" w:rsidP="00B8679E">
      <w:pPr>
        <w:spacing w:before="120" w:line="240" w:lineRule="atLeast"/>
        <w:rPr>
          <w:szCs w:val="24"/>
        </w:rPr>
      </w:pPr>
      <w:r w:rsidRPr="00187657">
        <w:rPr>
          <w:szCs w:val="24"/>
        </w:rPr>
        <w:t xml:space="preserve">intenzita </w:t>
      </w:r>
      <w:proofErr w:type="gramStart"/>
      <w:r w:rsidRPr="00187657">
        <w:rPr>
          <w:szCs w:val="24"/>
        </w:rPr>
        <w:t>15-ti</w:t>
      </w:r>
      <w:proofErr w:type="gramEnd"/>
      <w:r w:rsidRPr="00187657">
        <w:rPr>
          <w:szCs w:val="24"/>
        </w:rPr>
        <w:t xml:space="preserve"> min. deště </w:t>
      </w:r>
      <w:r w:rsidR="004F75F5">
        <w:rPr>
          <w:szCs w:val="24"/>
        </w:rPr>
        <w:t>183</w:t>
      </w:r>
      <w:r w:rsidRPr="00187657">
        <w:rPr>
          <w:szCs w:val="24"/>
        </w:rPr>
        <w:t>,</w:t>
      </w:r>
      <w:r w:rsidR="004F75F5">
        <w:rPr>
          <w:szCs w:val="24"/>
        </w:rPr>
        <w:t>34</w:t>
      </w:r>
      <w:r w:rsidRPr="00187657">
        <w:rPr>
          <w:szCs w:val="24"/>
        </w:rPr>
        <w:t xml:space="preserve"> l/s/ha</w:t>
      </w:r>
    </w:p>
    <w:p w:rsidR="00E231FC" w:rsidRPr="00E231FC" w:rsidRDefault="00E231FC" w:rsidP="00B8679E">
      <w:pPr>
        <w:spacing w:before="120" w:line="240" w:lineRule="atLeast"/>
        <w:rPr>
          <w:szCs w:val="24"/>
        </w:rPr>
      </w:pPr>
      <w:r>
        <w:rPr>
          <w:szCs w:val="24"/>
        </w:rPr>
        <w:t xml:space="preserve">střechy – </w:t>
      </w:r>
      <w:proofErr w:type="gramStart"/>
      <w:r>
        <w:rPr>
          <w:szCs w:val="24"/>
        </w:rPr>
        <w:t>1180m</w:t>
      </w:r>
      <w:r>
        <w:rPr>
          <w:szCs w:val="24"/>
          <w:vertAlign w:val="superscript"/>
        </w:rPr>
        <w:t>2</w:t>
      </w:r>
      <w:proofErr w:type="gramEnd"/>
    </w:p>
    <w:p w:rsidR="00E231FC" w:rsidRDefault="00E231FC" w:rsidP="00B8679E">
      <w:pPr>
        <w:spacing w:before="120" w:line="240" w:lineRule="atLeast"/>
        <w:rPr>
          <w:szCs w:val="24"/>
        </w:rPr>
      </w:pPr>
      <w:r>
        <w:rPr>
          <w:szCs w:val="24"/>
        </w:rPr>
        <w:t xml:space="preserve">původní střechy – cca </w:t>
      </w:r>
      <w:proofErr w:type="gramStart"/>
      <w:r>
        <w:rPr>
          <w:szCs w:val="24"/>
        </w:rPr>
        <w:t>500m</w:t>
      </w:r>
      <w:r>
        <w:rPr>
          <w:szCs w:val="24"/>
          <w:vertAlign w:val="superscript"/>
        </w:rPr>
        <w:t>2</w:t>
      </w:r>
      <w:proofErr w:type="gramEnd"/>
    </w:p>
    <w:p w:rsidR="00E231FC" w:rsidRPr="00E231FC" w:rsidRDefault="00E231FC" w:rsidP="00B8679E">
      <w:pPr>
        <w:spacing w:before="120" w:line="240" w:lineRule="atLeast"/>
        <w:rPr>
          <w:szCs w:val="24"/>
        </w:rPr>
      </w:pPr>
      <w:r>
        <w:rPr>
          <w:szCs w:val="24"/>
        </w:rPr>
        <w:t xml:space="preserve">asfaltové plochy a plochy ze zámkové dlažby – </w:t>
      </w:r>
      <w:proofErr w:type="gramStart"/>
      <w:r>
        <w:rPr>
          <w:szCs w:val="24"/>
        </w:rPr>
        <w:t>870m</w:t>
      </w:r>
      <w:r>
        <w:rPr>
          <w:szCs w:val="24"/>
          <w:vertAlign w:val="superscript"/>
        </w:rPr>
        <w:t>2</w:t>
      </w:r>
      <w:proofErr w:type="gramEnd"/>
    </w:p>
    <w:p w:rsidR="004F75F5" w:rsidRDefault="004F75F5" w:rsidP="004F75F5">
      <w:pPr>
        <w:spacing w:before="120" w:line="240" w:lineRule="atLeast"/>
        <w:rPr>
          <w:szCs w:val="24"/>
        </w:rPr>
      </w:pPr>
      <w:proofErr w:type="spellStart"/>
      <w:r w:rsidRPr="00187657">
        <w:rPr>
          <w:szCs w:val="24"/>
        </w:rPr>
        <w:t>Q</w:t>
      </w:r>
      <w:r w:rsidRPr="00187657">
        <w:rPr>
          <w:szCs w:val="24"/>
          <w:vertAlign w:val="subscript"/>
        </w:rPr>
        <w:t>d</w:t>
      </w:r>
      <w:proofErr w:type="spellEnd"/>
      <w:r>
        <w:rPr>
          <w:szCs w:val="24"/>
          <w:vertAlign w:val="subscript"/>
        </w:rPr>
        <w:t>, střecha</w:t>
      </w:r>
      <w:r w:rsidRPr="00187657">
        <w:rPr>
          <w:szCs w:val="24"/>
        </w:rPr>
        <w:t xml:space="preserve"> = </w:t>
      </w:r>
      <w:r>
        <w:rPr>
          <w:szCs w:val="24"/>
        </w:rPr>
        <w:t>(</w:t>
      </w:r>
      <w:r w:rsidR="00E231FC">
        <w:rPr>
          <w:szCs w:val="24"/>
        </w:rPr>
        <w:t>1180 + 500</w:t>
      </w:r>
      <w:r>
        <w:rPr>
          <w:szCs w:val="24"/>
        </w:rPr>
        <w:t xml:space="preserve">) x 0,018334 = </w:t>
      </w:r>
      <w:r w:rsidR="00E231FC">
        <w:rPr>
          <w:szCs w:val="24"/>
        </w:rPr>
        <w:t>30,80</w:t>
      </w:r>
      <w:r w:rsidRPr="00187657">
        <w:rPr>
          <w:szCs w:val="24"/>
        </w:rPr>
        <w:t xml:space="preserve"> l/s</w:t>
      </w:r>
    </w:p>
    <w:p w:rsidR="00B8679E" w:rsidRDefault="00B8679E" w:rsidP="00B8679E">
      <w:pPr>
        <w:spacing w:before="120" w:line="240" w:lineRule="atLeast"/>
        <w:rPr>
          <w:szCs w:val="24"/>
        </w:rPr>
      </w:pPr>
      <w:proofErr w:type="spellStart"/>
      <w:r w:rsidRPr="00187657">
        <w:rPr>
          <w:szCs w:val="24"/>
        </w:rPr>
        <w:t>Q</w:t>
      </w:r>
      <w:r w:rsidRPr="00187657">
        <w:rPr>
          <w:szCs w:val="24"/>
          <w:vertAlign w:val="subscript"/>
        </w:rPr>
        <w:t>d</w:t>
      </w:r>
      <w:proofErr w:type="spellEnd"/>
      <w:r w:rsidR="004F75F5">
        <w:rPr>
          <w:szCs w:val="24"/>
          <w:vertAlign w:val="subscript"/>
        </w:rPr>
        <w:t xml:space="preserve">, </w:t>
      </w:r>
      <w:r w:rsidR="00E231FC">
        <w:rPr>
          <w:szCs w:val="24"/>
          <w:vertAlign w:val="subscript"/>
        </w:rPr>
        <w:t>komunikace</w:t>
      </w:r>
      <w:r w:rsidRPr="00187657">
        <w:rPr>
          <w:szCs w:val="24"/>
        </w:rPr>
        <w:t xml:space="preserve"> = </w:t>
      </w:r>
      <w:r w:rsidR="00E231FC">
        <w:rPr>
          <w:szCs w:val="24"/>
        </w:rPr>
        <w:t>870</w:t>
      </w:r>
      <w:r w:rsidR="004F75F5">
        <w:rPr>
          <w:szCs w:val="24"/>
        </w:rPr>
        <w:t xml:space="preserve"> x 0,</w:t>
      </w:r>
      <w:r w:rsidR="00E231FC">
        <w:rPr>
          <w:szCs w:val="24"/>
        </w:rPr>
        <w:t>8</w:t>
      </w:r>
      <w:r w:rsidR="004F75F5">
        <w:rPr>
          <w:szCs w:val="24"/>
        </w:rPr>
        <w:t xml:space="preserve"> x 0,018334 = </w:t>
      </w:r>
      <w:r w:rsidR="00E231FC">
        <w:rPr>
          <w:szCs w:val="24"/>
        </w:rPr>
        <w:t>12,76</w:t>
      </w:r>
      <w:r w:rsidRPr="00187657">
        <w:rPr>
          <w:szCs w:val="24"/>
        </w:rPr>
        <w:t xml:space="preserve"> l/s</w:t>
      </w:r>
    </w:p>
    <w:p w:rsidR="004F75F5" w:rsidRDefault="004F75F5" w:rsidP="004F75F5">
      <w:pPr>
        <w:spacing w:before="120" w:line="240" w:lineRule="atLeast"/>
        <w:rPr>
          <w:szCs w:val="24"/>
        </w:rPr>
      </w:pPr>
      <w:proofErr w:type="spellStart"/>
      <w:r w:rsidRPr="00187657">
        <w:rPr>
          <w:szCs w:val="24"/>
        </w:rPr>
        <w:t>Q</w:t>
      </w:r>
      <w:r w:rsidRPr="00187657">
        <w:rPr>
          <w:szCs w:val="24"/>
          <w:vertAlign w:val="subscript"/>
        </w:rPr>
        <w:t>d</w:t>
      </w:r>
      <w:proofErr w:type="spellEnd"/>
      <w:r>
        <w:rPr>
          <w:szCs w:val="24"/>
          <w:vertAlign w:val="subscript"/>
        </w:rPr>
        <w:t xml:space="preserve"> </w:t>
      </w:r>
      <w:r w:rsidRPr="00187657">
        <w:rPr>
          <w:szCs w:val="24"/>
        </w:rPr>
        <w:t xml:space="preserve">= </w:t>
      </w:r>
      <w:r w:rsidR="00E231FC">
        <w:rPr>
          <w:szCs w:val="24"/>
        </w:rPr>
        <w:t>30,80</w:t>
      </w:r>
      <w:r>
        <w:rPr>
          <w:szCs w:val="24"/>
        </w:rPr>
        <w:t xml:space="preserve"> + </w:t>
      </w:r>
      <w:r w:rsidR="00E231FC">
        <w:rPr>
          <w:szCs w:val="24"/>
        </w:rPr>
        <w:t>12,76</w:t>
      </w:r>
      <w:r>
        <w:rPr>
          <w:szCs w:val="24"/>
        </w:rPr>
        <w:t xml:space="preserve"> = </w:t>
      </w:r>
      <w:r w:rsidR="00E231FC">
        <w:rPr>
          <w:szCs w:val="24"/>
        </w:rPr>
        <w:t>43,56</w:t>
      </w:r>
      <w:r w:rsidRPr="00187657">
        <w:rPr>
          <w:szCs w:val="24"/>
        </w:rPr>
        <w:t xml:space="preserve"> l/s</w:t>
      </w:r>
    </w:p>
    <w:p w:rsidR="00ED5D08" w:rsidRDefault="00ED5D08" w:rsidP="00ED5D08">
      <w:pPr>
        <w:spacing w:before="120" w:line="240" w:lineRule="atLeast"/>
        <w:rPr>
          <w:szCs w:val="24"/>
        </w:rPr>
      </w:pPr>
      <w:proofErr w:type="spellStart"/>
      <w:r w:rsidRPr="00187657">
        <w:rPr>
          <w:szCs w:val="24"/>
        </w:rPr>
        <w:t>Q</w:t>
      </w:r>
      <w:r w:rsidRPr="00187657">
        <w:rPr>
          <w:szCs w:val="24"/>
          <w:vertAlign w:val="subscript"/>
        </w:rPr>
        <w:t>d</w:t>
      </w:r>
      <w:proofErr w:type="spellEnd"/>
      <w:r>
        <w:rPr>
          <w:szCs w:val="24"/>
          <w:vertAlign w:val="subscript"/>
        </w:rPr>
        <w:t>, 100</w:t>
      </w:r>
      <w:r w:rsidRPr="00187657">
        <w:rPr>
          <w:szCs w:val="24"/>
        </w:rPr>
        <w:t xml:space="preserve"> = </w:t>
      </w:r>
      <w:r>
        <w:rPr>
          <w:szCs w:val="24"/>
        </w:rPr>
        <w:t>(1180 + 500) x 0,030 + 870 x 0,8 x 0,030 = 71,28</w:t>
      </w:r>
      <w:r w:rsidRPr="00187657">
        <w:rPr>
          <w:szCs w:val="24"/>
        </w:rPr>
        <w:t xml:space="preserve"> l/s</w:t>
      </w:r>
    </w:p>
    <w:p w:rsidR="00B8679E" w:rsidRPr="00187657" w:rsidRDefault="00B35438" w:rsidP="00187657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6" w:name="_Toc517166858"/>
      <w:r>
        <w:rPr>
          <w:b w:val="0"/>
          <w:szCs w:val="24"/>
          <w:u w:val="single"/>
        </w:rPr>
        <w:t>Hydrogeologické podmínky</w:t>
      </w:r>
      <w:bookmarkEnd w:id="6"/>
    </w:p>
    <w:p w:rsidR="00B35438" w:rsidRPr="004504EA" w:rsidRDefault="00ED5D08" w:rsidP="00B35438">
      <w:pPr>
        <w:pStyle w:val="Zkladntext"/>
        <w:spacing w:before="120"/>
        <w:ind w:firstLine="720"/>
        <w:jc w:val="left"/>
        <w:rPr>
          <w:szCs w:val="24"/>
        </w:rPr>
      </w:pPr>
      <w:r>
        <w:rPr>
          <w:szCs w:val="24"/>
        </w:rPr>
        <w:t>Objekt se nachází v blízkosti dolního toku řeky Dyje, která svojí hladinou výrazně ovlivňuje hladinu spodní vody na pozemku stavby. Ustálená hladina spodní vody se vyskytuje na kótě 156,00 m n.m. s výskytem i na kótě 156,28m n.m.</w:t>
      </w:r>
    </w:p>
    <w:p w:rsidR="00B35438" w:rsidRPr="00187657" w:rsidRDefault="00B40AEB" w:rsidP="00B35438">
      <w:pPr>
        <w:pStyle w:val="Zkladntext21"/>
        <w:ind w:firstLine="708"/>
        <w:rPr>
          <w:szCs w:val="24"/>
        </w:rPr>
      </w:pPr>
      <w:r>
        <w:rPr>
          <w:b/>
          <w:i/>
          <w:szCs w:val="24"/>
        </w:rPr>
        <w:t>Na místě poldru a retenční nádrže je nutné provést podrobné hydrogeologické zkoušky</w:t>
      </w:r>
      <w:r w:rsidR="00B35438" w:rsidRPr="004504EA">
        <w:rPr>
          <w:b/>
          <w:i/>
          <w:szCs w:val="24"/>
        </w:rPr>
        <w:t>.</w:t>
      </w:r>
    </w:p>
    <w:p w:rsidR="00FA2DCA" w:rsidRDefault="00B40AEB" w:rsidP="00FA2DCA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7" w:name="_Toc517166859"/>
      <w:r>
        <w:rPr>
          <w:b w:val="0"/>
          <w:szCs w:val="24"/>
          <w:u w:val="single"/>
        </w:rPr>
        <w:lastRenderedPageBreak/>
        <w:t>Revizní šachty</w:t>
      </w:r>
      <w:bookmarkEnd w:id="7"/>
    </w:p>
    <w:p w:rsidR="00B40AEB" w:rsidRDefault="00B40AEB" w:rsidP="00B40AEB">
      <w:pPr>
        <w:pStyle w:val="Zkladntext21"/>
        <w:ind w:firstLine="709"/>
        <w:rPr>
          <w:szCs w:val="24"/>
        </w:rPr>
      </w:pPr>
      <w:r>
        <w:rPr>
          <w:szCs w:val="24"/>
        </w:rPr>
        <w:t xml:space="preserve">Revizní šachty DN1000 budou primárně z prefabrikovaných betonových dílů, včetně prefabrikovaného tvarování dna. </w:t>
      </w:r>
      <w:r w:rsidR="00ED5D08">
        <w:rPr>
          <w:szCs w:val="24"/>
        </w:rPr>
        <w:t>S</w:t>
      </w:r>
      <w:r>
        <w:rPr>
          <w:szCs w:val="24"/>
        </w:rPr>
        <w:t>edimentační šachta bude provedena z monolitického dna</w:t>
      </w:r>
      <w:r w:rsidR="000F156D">
        <w:rPr>
          <w:szCs w:val="24"/>
        </w:rPr>
        <w:t xml:space="preserve"> DN1000</w:t>
      </w:r>
      <w:r>
        <w:rPr>
          <w:szCs w:val="24"/>
        </w:rPr>
        <w:t xml:space="preserve">. </w:t>
      </w:r>
      <w:r w:rsidR="000F156D">
        <w:rPr>
          <w:szCs w:val="24"/>
        </w:rPr>
        <w:t>Čerpací šachta bude provedena z prefabrikovaného nebo monolitického dna DN1500</w:t>
      </w:r>
      <w:r w:rsidR="000F156D">
        <w:rPr>
          <w:szCs w:val="24"/>
        </w:rPr>
        <w:t xml:space="preserve">. </w:t>
      </w:r>
      <w:proofErr w:type="spellStart"/>
      <w:r>
        <w:rPr>
          <w:szCs w:val="24"/>
        </w:rPr>
        <w:t>Půlžlábek</w:t>
      </w:r>
      <w:proofErr w:type="spellEnd"/>
      <w:r>
        <w:rPr>
          <w:szCs w:val="24"/>
        </w:rPr>
        <w:t xml:space="preserve"> bude proveden z</w:t>
      </w:r>
      <w:r w:rsidR="00D84BCB">
        <w:rPr>
          <w:szCs w:val="24"/>
        </w:rPr>
        <w:t> tvrzeného betonu</w:t>
      </w:r>
      <w:r>
        <w:rPr>
          <w:szCs w:val="24"/>
        </w:rPr>
        <w:t xml:space="preserve">. </w:t>
      </w:r>
    </w:p>
    <w:p w:rsidR="00B40AEB" w:rsidRDefault="00B40AEB" w:rsidP="00B40AEB">
      <w:pPr>
        <w:pStyle w:val="Zkladntext21"/>
        <w:ind w:firstLine="709"/>
        <w:rPr>
          <w:szCs w:val="24"/>
        </w:rPr>
      </w:pPr>
      <w:r>
        <w:rPr>
          <w:szCs w:val="24"/>
        </w:rPr>
        <w:t xml:space="preserve">Šachty budou uloženy na betonovou desku C20/25 tloušťky </w:t>
      </w:r>
      <w:proofErr w:type="gramStart"/>
      <w:r>
        <w:rPr>
          <w:szCs w:val="24"/>
        </w:rPr>
        <w:t>150mm</w:t>
      </w:r>
      <w:proofErr w:type="gramEnd"/>
      <w:r>
        <w:rPr>
          <w:szCs w:val="24"/>
        </w:rPr>
        <w:t xml:space="preserve"> s vyztužením kari sítí KD35. Poklopy budou litinové se zatížením minimální třídy D400.</w:t>
      </w:r>
    </w:p>
    <w:p w:rsidR="00CC3C11" w:rsidRPr="00B40AEB" w:rsidRDefault="00B40AEB" w:rsidP="00B40AEB">
      <w:pPr>
        <w:pStyle w:val="Zkladntext21"/>
        <w:ind w:firstLine="709"/>
        <w:rPr>
          <w:szCs w:val="24"/>
        </w:rPr>
      </w:pPr>
      <w:r w:rsidRPr="00B40AEB">
        <w:rPr>
          <w:szCs w:val="24"/>
        </w:rPr>
        <w:t xml:space="preserve">Šachty budou rovnoměrně obsypány štěrkopískem frakce </w:t>
      </w:r>
      <w:proofErr w:type="gramStart"/>
      <w:r w:rsidRPr="00B40AEB">
        <w:rPr>
          <w:szCs w:val="24"/>
        </w:rPr>
        <w:t>4-8mm</w:t>
      </w:r>
      <w:proofErr w:type="gramEnd"/>
      <w:r w:rsidRPr="00B40AEB">
        <w:rPr>
          <w:szCs w:val="24"/>
        </w:rPr>
        <w:t xml:space="preserve"> a důkladně zhutněny podle platných norem.</w:t>
      </w:r>
    </w:p>
    <w:p w:rsidR="00B8679E" w:rsidRPr="00187657" w:rsidRDefault="00B8679E" w:rsidP="00187657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8" w:name="_Toc517166860"/>
      <w:r w:rsidRPr="00187657">
        <w:rPr>
          <w:b w:val="0"/>
          <w:szCs w:val="24"/>
          <w:u w:val="single"/>
        </w:rPr>
        <w:t>Uložení potrubí</w:t>
      </w:r>
      <w:bookmarkEnd w:id="8"/>
    </w:p>
    <w:p w:rsidR="00B8679E" w:rsidRDefault="00B8679E" w:rsidP="00B8679E">
      <w:pPr>
        <w:spacing w:before="120" w:line="240" w:lineRule="atLeast"/>
        <w:ind w:firstLine="708"/>
        <w:rPr>
          <w:szCs w:val="24"/>
        </w:rPr>
      </w:pPr>
      <w:r w:rsidRPr="00187657">
        <w:rPr>
          <w:szCs w:val="24"/>
        </w:rPr>
        <w:t xml:space="preserve">Zemní práce jsou zatříděny do 3. třídy těžitelnosti, přebytečná zemina se bude odvážet na skládku. </w:t>
      </w:r>
      <w:r w:rsidR="000F156D">
        <w:rPr>
          <w:szCs w:val="24"/>
        </w:rPr>
        <w:t>Betonové p</w:t>
      </w:r>
      <w:r w:rsidR="000F156D" w:rsidRPr="00045867">
        <w:rPr>
          <w:szCs w:val="24"/>
        </w:rPr>
        <w:t>otrubí bude uloženo na pískovém loži tloušťky 1</w:t>
      </w:r>
      <w:r w:rsidR="000F156D">
        <w:rPr>
          <w:szCs w:val="24"/>
        </w:rPr>
        <w:t>5</w:t>
      </w:r>
      <w:r w:rsidR="000F156D" w:rsidRPr="00045867">
        <w:rPr>
          <w:szCs w:val="24"/>
        </w:rPr>
        <w:t>0 mm</w:t>
      </w:r>
      <w:r w:rsidR="000F156D" w:rsidRPr="00187657">
        <w:rPr>
          <w:szCs w:val="24"/>
        </w:rPr>
        <w:t>.</w:t>
      </w:r>
      <w:r w:rsidR="000F156D">
        <w:rPr>
          <w:szCs w:val="24"/>
        </w:rPr>
        <w:t xml:space="preserve"> </w:t>
      </w:r>
      <w:r w:rsidR="00D84BCB">
        <w:rPr>
          <w:szCs w:val="24"/>
        </w:rPr>
        <w:t>Betonové p</w:t>
      </w:r>
      <w:r w:rsidRPr="00187657">
        <w:rPr>
          <w:szCs w:val="24"/>
        </w:rPr>
        <w:t xml:space="preserve">otrubí bude </w:t>
      </w:r>
      <w:r w:rsidR="00D84BCB" w:rsidRPr="00187657">
        <w:rPr>
          <w:szCs w:val="24"/>
        </w:rPr>
        <w:t>obsypáno pískem tloušťky 200 mm frakce 0-8 mm nad horní líc potrubí</w:t>
      </w:r>
      <w:r w:rsidR="00D84BCB">
        <w:rPr>
          <w:szCs w:val="24"/>
        </w:rPr>
        <w:t xml:space="preserve">. Plastové potrubí bude uloženo </w:t>
      </w:r>
      <w:r w:rsidR="00D84BCB" w:rsidRPr="00187657">
        <w:rPr>
          <w:szCs w:val="24"/>
        </w:rPr>
        <w:t>na pískovém loži tloušťky 1</w:t>
      </w:r>
      <w:r w:rsidR="000F156D">
        <w:rPr>
          <w:szCs w:val="24"/>
        </w:rPr>
        <w:t>5</w:t>
      </w:r>
      <w:r w:rsidR="00D84BCB" w:rsidRPr="00187657">
        <w:rPr>
          <w:szCs w:val="24"/>
        </w:rPr>
        <w:t>0 mm a bude</w:t>
      </w:r>
      <w:r w:rsidR="00D84BCB">
        <w:rPr>
          <w:szCs w:val="24"/>
        </w:rPr>
        <w:t xml:space="preserve"> </w:t>
      </w:r>
      <w:r w:rsidR="00C665DB">
        <w:rPr>
          <w:szCs w:val="24"/>
        </w:rPr>
        <w:t>obetonováno betonem C20/25</w:t>
      </w:r>
      <w:r w:rsidRPr="00187657">
        <w:rPr>
          <w:szCs w:val="24"/>
        </w:rPr>
        <w:t xml:space="preserve"> </w:t>
      </w:r>
      <w:r w:rsidR="00C665DB">
        <w:rPr>
          <w:szCs w:val="24"/>
        </w:rPr>
        <w:t xml:space="preserve">minimálně </w:t>
      </w:r>
      <w:proofErr w:type="gramStart"/>
      <w:r w:rsidR="00C665DB">
        <w:rPr>
          <w:szCs w:val="24"/>
        </w:rPr>
        <w:t>100mm</w:t>
      </w:r>
      <w:proofErr w:type="gramEnd"/>
      <w:r w:rsidR="00C665DB">
        <w:rPr>
          <w:szCs w:val="24"/>
        </w:rPr>
        <w:t xml:space="preserve"> </w:t>
      </w:r>
      <w:r w:rsidRPr="00187657">
        <w:rPr>
          <w:szCs w:val="24"/>
        </w:rPr>
        <w:t xml:space="preserve">nad </w:t>
      </w:r>
      <w:r w:rsidR="000F156D">
        <w:rPr>
          <w:szCs w:val="24"/>
        </w:rPr>
        <w:t>dřík</w:t>
      </w:r>
      <w:r w:rsidRPr="00187657">
        <w:rPr>
          <w:szCs w:val="24"/>
        </w:rPr>
        <w:t xml:space="preserve"> potrubí. Do výkopu bude položena výstražná fólie šedé barvy 2</w:t>
      </w:r>
      <w:r w:rsidR="00C665DB">
        <w:rPr>
          <w:szCs w:val="24"/>
        </w:rPr>
        <w:t>0</w:t>
      </w:r>
      <w:r w:rsidRPr="00187657">
        <w:rPr>
          <w:szCs w:val="24"/>
        </w:rPr>
        <w:t xml:space="preserve">0 mm nad horní líc potrubí. Zához bude proveden </w:t>
      </w:r>
      <w:r w:rsidR="00C665DB">
        <w:rPr>
          <w:szCs w:val="24"/>
        </w:rPr>
        <w:t>stabilizační</w:t>
      </w:r>
      <w:r w:rsidRPr="00187657">
        <w:rPr>
          <w:szCs w:val="24"/>
        </w:rPr>
        <w:t xml:space="preserve"> zeminou. Pokud budou zjištěny odlišnosti od údajů uvedených v projektu, je nutné se spojit s projektantem a provést případné korekce podle skutečného stavu.</w:t>
      </w:r>
      <w:r w:rsidR="007D42CB" w:rsidRPr="007D42CB">
        <w:rPr>
          <w:szCs w:val="24"/>
        </w:rPr>
        <w:t xml:space="preserve"> </w:t>
      </w:r>
      <w:r w:rsidR="007D42CB">
        <w:rPr>
          <w:szCs w:val="24"/>
        </w:rPr>
        <w:t>Výkopy budou provedeny podle ČSN EN 1610.</w:t>
      </w:r>
    </w:p>
    <w:p w:rsidR="00ED5D08" w:rsidRPr="00045867" w:rsidRDefault="00ED5D08" w:rsidP="00ED5D08">
      <w:pPr>
        <w:spacing w:before="120" w:line="240" w:lineRule="atLeast"/>
        <w:ind w:firstLine="708"/>
        <w:rPr>
          <w:szCs w:val="24"/>
        </w:rPr>
      </w:pPr>
      <w:r>
        <w:rPr>
          <w:szCs w:val="24"/>
        </w:rPr>
        <w:t>Ve výkopu bude provedeno drenážní potrubí DN100, balastní voda bude čerpána do kanalizace. Dané je nutné odsouhlasit s </w:t>
      </w:r>
      <w:proofErr w:type="spellStart"/>
      <w:r>
        <w:rPr>
          <w:szCs w:val="24"/>
        </w:rPr>
        <w:t>VaK</w:t>
      </w:r>
      <w:proofErr w:type="spellEnd"/>
      <w:r>
        <w:rPr>
          <w:szCs w:val="24"/>
        </w:rPr>
        <w:t xml:space="preserve"> Břeclav a stavit cenu stočného.</w:t>
      </w:r>
    </w:p>
    <w:p w:rsidR="00B8679E" w:rsidRPr="00187657" w:rsidRDefault="00B8679E" w:rsidP="00B8679E">
      <w:pPr>
        <w:spacing w:before="120" w:line="240" w:lineRule="atLeast"/>
        <w:ind w:firstLine="708"/>
        <w:rPr>
          <w:szCs w:val="24"/>
        </w:rPr>
      </w:pPr>
      <w:r w:rsidRPr="00187657">
        <w:rPr>
          <w:szCs w:val="24"/>
        </w:rPr>
        <w:t>Při křížení a souběhu s jinými inženýrskými sítěmi je nutné dodržet prostorovou normu ČSN 73 6005.</w:t>
      </w:r>
    </w:p>
    <w:p w:rsidR="00B8679E" w:rsidRPr="00187657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9" w:name="_Toc517166861"/>
      <w:r w:rsidRPr="00187657">
        <w:rPr>
          <w:szCs w:val="24"/>
        </w:rPr>
        <w:t>Bezpečnost práce</w:t>
      </w:r>
      <w:bookmarkEnd w:id="9"/>
    </w:p>
    <w:p w:rsidR="00B8679E" w:rsidRPr="00187657" w:rsidRDefault="00B8679E" w:rsidP="00B8679E">
      <w:pPr>
        <w:pStyle w:val="Zkladntext"/>
        <w:spacing w:before="120"/>
        <w:ind w:firstLine="720"/>
        <w:jc w:val="left"/>
        <w:rPr>
          <w:szCs w:val="24"/>
        </w:rPr>
      </w:pPr>
      <w:r w:rsidRPr="00187657">
        <w:rPr>
          <w:szCs w:val="24"/>
        </w:rPr>
        <w:t xml:space="preserve">Pro splnění podmínek v oblasti BOZP je třeba dodržovat vyhlášku Českého úřadu bezpečnosti práce č. 48/1982 Sb., dále pak zejména nařízení vlády č. 362/2005 Sb., o bližších požadavcích na BOZP na pracovištích s nebezpečím pádu z výšky nebo do hloubky, nařízení vlády č. 101/2005 Sb., o podrobnějších požadavcích na </w:t>
      </w:r>
      <w:r w:rsidRPr="00187657">
        <w:rPr>
          <w:rStyle w:val="highlightedglossaryterm"/>
          <w:szCs w:val="24"/>
        </w:rPr>
        <w:t>pracoviště</w:t>
      </w:r>
      <w:r w:rsidRPr="00187657">
        <w:rPr>
          <w:szCs w:val="24"/>
        </w:rPr>
        <w:t xml:space="preserve"> a pracovní prostředí, nařízení vlády č. 378/2001 Sb., kterým se stanoví bližší požadavky na bezpečný provoz a používání strojů, technických zařízení, přístrojů a nářadí.</w:t>
      </w:r>
    </w:p>
    <w:p w:rsidR="00B8679E" w:rsidRPr="00187657" w:rsidRDefault="00B8679E" w:rsidP="00B8679E">
      <w:pPr>
        <w:pStyle w:val="Zkladntext"/>
        <w:spacing w:before="120"/>
        <w:ind w:firstLine="720"/>
        <w:jc w:val="left"/>
        <w:rPr>
          <w:szCs w:val="24"/>
        </w:rPr>
      </w:pPr>
      <w:r w:rsidRPr="00187657">
        <w:rPr>
          <w:szCs w:val="24"/>
        </w:rPr>
        <w:t>Při provádění veškerých stavebních prací je nutno dodržovat nařízení vlády č.591/2006 Sb. o minimálních požadavcích na bezpečnost a ochranu zdraví při práci na staveništích a 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B8679E" w:rsidRPr="00187657" w:rsidRDefault="00B8679E" w:rsidP="00B8679E">
      <w:pPr>
        <w:pStyle w:val="Zkladntext"/>
        <w:spacing w:before="120"/>
        <w:ind w:firstLine="709"/>
        <w:jc w:val="left"/>
        <w:rPr>
          <w:szCs w:val="24"/>
        </w:rPr>
      </w:pPr>
      <w:r w:rsidRPr="00187657">
        <w:rPr>
          <w:szCs w:val="24"/>
        </w:rPr>
        <w:t xml:space="preserve">Od ustanovení těchto právních předpisů je možné se odchýlit na nezbytně nutnou dobu v případě, kdy hrozí nebezpečí z prodlení při záchraně lidí nebo při likvidaci závažné provozní nehody /havárie/, pokud budou provedena nejnutnější bezpečnostní opatření. Další odchylky může povolit jen Český úřad bezpečnosti práce. Návrh na odchylku, doložený potřebnými náhradními opatřeními k zajištění bezpečnosti práce, předkládá dodavatel </w:t>
      </w:r>
      <w:r w:rsidRPr="00187657">
        <w:rPr>
          <w:szCs w:val="24"/>
        </w:rPr>
        <w:lastRenderedPageBreak/>
        <w:t>stavební práce prostřednictvím příslušného inspektorátu bezpečnosti práce.</w:t>
      </w:r>
    </w:p>
    <w:p w:rsidR="00B8679E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0" w:name="_Toc517166862"/>
      <w:r w:rsidRPr="00187657">
        <w:rPr>
          <w:szCs w:val="24"/>
        </w:rPr>
        <w:t>Nakládání s odpady</w:t>
      </w:r>
      <w:bookmarkEnd w:id="10"/>
    </w:p>
    <w:p w:rsidR="00B75E41" w:rsidRPr="00B62614" w:rsidRDefault="00B75E41" w:rsidP="00B75E41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>Vznikající odpady budou zatříděny dle vyhlášky MŽP č. 93/2016 Sb., katalog odpadů, seznam nebezpečných odpadů.</w:t>
      </w:r>
    </w:p>
    <w:p w:rsidR="00B75E41" w:rsidRPr="00B62614" w:rsidRDefault="00B75E41" w:rsidP="00B75E41">
      <w:pPr>
        <w:jc w:val="both"/>
        <w:rPr>
          <w:szCs w:val="24"/>
        </w:rPr>
      </w:pPr>
    </w:p>
    <w:p w:rsidR="00B75E41" w:rsidRPr="00B62614" w:rsidRDefault="00B75E41" w:rsidP="00B75E41">
      <w:pPr>
        <w:pStyle w:val="Zkladntext"/>
        <w:rPr>
          <w:szCs w:val="24"/>
        </w:rPr>
      </w:pPr>
      <w:r w:rsidRPr="00B62614">
        <w:rPr>
          <w:szCs w:val="24"/>
        </w:rPr>
        <w:t>Tabulka zatřídění odpadů:</w:t>
      </w:r>
    </w:p>
    <w:p w:rsidR="00B75E41" w:rsidRPr="00B62614" w:rsidRDefault="00B75E41" w:rsidP="00B75E41">
      <w:pPr>
        <w:pStyle w:val="Zkladntext"/>
        <w:rPr>
          <w:szCs w:val="24"/>
        </w:rPr>
      </w:pPr>
    </w:p>
    <w:tbl>
      <w:tblPr>
        <w:tblW w:w="0" w:type="auto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7"/>
        <w:gridCol w:w="6568"/>
      </w:tblGrid>
      <w:tr w:rsidR="00B75E41" w:rsidRPr="00B62614" w:rsidTr="00DE5304">
        <w:trPr>
          <w:trHeight w:val="330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B62614">
              <w:rPr>
                <w:b/>
                <w:szCs w:val="24"/>
                <w:lang w:eastAsia="en-US"/>
              </w:rPr>
              <w:t>Kód odpadu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B62614">
              <w:rPr>
                <w:b/>
                <w:szCs w:val="24"/>
                <w:lang w:eastAsia="en-US"/>
              </w:rPr>
              <w:t>Název</w:t>
            </w:r>
          </w:p>
        </w:tc>
      </w:tr>
      <w:tr w:rsidR="00B75E41" w:rsidRPr="00B62614" w:rsidTr="00DE5304">
        <w:trPr>
          <w:trHeight w:val="31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120102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Železný šrot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020107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 xml:space="preserve">Odpad </w:t>
            </w:r>
            <w:proofErr w:type="gramStart"/>
            <w:r w:rsidRPr="00B62614">
              <w:rPr>
                <w:szCs w:val="24"/>
                <w:lang w:eastAsia="en-US"/>
              </w:rPr>
              <w:t>ze</w:t>
            </w:r>
            <w:proofErr w:type="gramEnd"/>
            <w:r w:rsidRPr="00B62614">
              <w:rPr>
                <w:szCs w:val="24"/>
                <w:lang w:eastAsia="en-US"/>
              </w:rPr>
              <w:t xml:space="preserve"> zeleně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170302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Asfalt bez dehtu – lepenka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170904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Směsný materiál demoliční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Cihla (recyklace)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170101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Beton (recyklace)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170301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Asfalt s příměsí dehtu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170504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Zemina</w:t>
            </w:r>
          </w:p>
        </w:tc>
      </w:tr>
      <w:tr w:rsidR="00B75E41" w:rsidRPr="00B62614" w:rsidTr="00DE5304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170604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75E41" w:rsidRPr="00B62614" w:rsidRDefault="00B75E41" w:rsidP="00DE5304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B62614">
              <w:rPr>
                <w:szCs w:val="24"/>
                <w:lang w:eastAsia="en-US"/>
              </w:rPr>
              <w:t>Ostatní izolační materiál</w:t>
            </w:r>
          </w:p>
        </w:tc>
      </w:tr>
    </w:tbl>
    <w:p w:rsidR="00B75E41" w:rsidRPr="00B62614" w:rsidRDefault="00B75E41" w:rsidP="00B75E41">
      <w:pPr>
        <w:pStyle w:val="Zkladntext"/>
        <w:rPr>
          <w:szCs w:val="24"/>
        </w:rPr>
      </w:pPr>
    </w:p>
    <w:p w:rsidR="00B75E41" w:rsidRPr="00B62614" w:rsidRDefault="00B75E41" w:rsidP="00B75E41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>Odpady vzniklé při výstavbě budou zneškodněny dle zákona č. 275/2002 Sb., o odpadech a ve znění zákona č. 185/2001 Sb., o odpadech a o změně některých dalších zákonů, ve znění pozdějších předpisů a Vyhlášky Ministerstva životního prostředí č. 383/2001 Sb., o podrobnostech nakládání s odpady, ve znění pozdějších předpisů, vyhlášky MŽP č. 294/2005 Sb., o podmínkách ukládání odpadů na skládky a jejich využívání na povrchu terénu a změně vyhlášky č. 383/2001 Sb., o podrobnostech nakládání s</w:t>
      </w:r>
      <w:r>
        <w:rPr>
          <w:szCs w:val="24"/>
        </w:rPr>
        <w:t> </w:t>
      </w:r>
      <w:r w:rsidRPr="00B62614">
        <w:rPr>
          <w:szCs w:val="24"/>
        </w:rPr>
        <w:t>odpady</w:t>
      </w:r>
      <w:r>
        <w:rPr>
          <w:szCs w:val="24"/>
        </w:rPr>
        <w:t xml:space="preserve"> včetně pozdějších znění</w:t>
      </w:r>
      <w:r w:rsidRPr="00B62614">
        <w:rPr>
          <w:szCs w:val="24"/>
        </w:rPr>
        <w:t>.</w:t>
      </w:r>
    </w:p>
    <w:p w:rsidR="00B75E41" w:rsidRPr="00B62614" w:rsidRDefault="00B75E41" w:rsidP="00B75E41">
      <w:pPr>
        <w:pStyle w:val="Zkladntext"/>
        <w:spacing w:before="80"/>
        <w:jc w:val="left"/>
        <w:rPr>
          <w:szCs w:val="24"/>
        </w:rPr>
      </w:pPr>
    </w:p>
    <w:p w:rsidR="00B75E41" w:rsidRPr="00B62614" w:rsidRDefault="00B75E41" w:rsidP="00B75E41">
      <w:pPr>
        <w:pStyle w:val="Zkladntext"/>
        <w:spacing w:before="80"/>
        <w:jc w:val="left"/>
        <w:rPr>
          <w:szCs w:val="24"/>
        </w:rPr>
      </w:pPr>
      <w:r w:rsidRPr="00B62614">
        <w:rPr>
          <w:szCs w:val="24"/>
        </w:rPr>
        <w:t>Odpady vzniklé při realizaci budou odstraněny takto:</w:t>
      </w:r>
    </w:p>
    <w:p w:rsidR="00B75E41" w:rsidRPr="00B62614" w:rsidRDefault="00B75E41" w:rsidP="00B75E41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recyklovatelné materiály budou nabídnuty k recyklaci na recyklačním zařízení</w:t>
      </w:r>
    </w:p>
    <w:p w:rsidR="00B75E41" w:rsidRPr="00B62614" w:rsidRDefault="00B75E41" w:rsidP="00B75E41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spalitelný odpad bude nabídnut ke spálení do spalovny komunálních odpadů</w:t>
      </w:r>
    </w:p>
    <w:p w:rsidR="00B75E41" w:rsidRPr="00B62614" w:rsidRDefault="00B75E41" w:rsidP="00B75E41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B62614">
        <w:rPr>
          <w:szCs w:val="24"/>
        </w:rPr>
        <w:t>nespalitelný odpad bude uložen na povolené skládce</w:t>
      </w:r>
    </w:p>
    <w:p w:rsidR="00B75E41" w:rsidRPr="00B62614" w:rsidRDefault="00B75E41" w:rsidP="00B75E41">
      <w:pPr>
        <w:pStyle w:val="Zkladntext"/>
        <w:widowControl/>
        <w:jc w:val="left"/>
        <w:rPr>
          <w:szCs w:val="24"/>
        </w:rPr>
      </w:pPr>
    </w:p>
    <w:p w:rsidR="00B75E41" w:rsidRPr="00B62614" w:rsidRDefault="00B75E41" w:rsidP="00B75E41">
      <w:pPr>
        <w:pStyle w:val="Zkladntext"/>
        <w:spacing w:before="80"/>
        <w:ind w:firstLine="709"/>
        <w:jc w:val="left"/>
        <w:rPr>
          <w:szCs w:val="24"/>
        </w:rPr>
      </w:pPr>
      <w:r w:rsidRPr="00B62614">
        <w:rPr>
          <w:szCs w:val="24"/>
        </w:rPr>
        <w:t xml:space="preserve">Zvláště pak upozorňuji na skutečnost, že dle §12 odst. 4 zákona č. 185/2001 Sb., o odpadech a o změně některých dalších zákonů, ve znění pozdějších předpisů, je každý povinen zjistit, zda osoba, které předává odpady, je k jejich převzetí podle tohoto zákona oprávněna. V případě, že se tato osoba oprávněním neprokáže, nesmí jí být odpad předán. </w:t>
      </w:r>
    </w:p>
    <w:p w:rsidR="00B8679E" w:rsidRPr="00187657" w:rsidRDefault="00B75E41" w:rsidP="00B75E41">
      <w:pPr>
        <w:pStyle w:val="Zkladntext"/>
        <w:spacing w:before="120"/>
        <w:ind w:firstLine="709"/>
        <w:jc w:val="left"/>
        <w:rPr>
          <w:szCs w:val="24"/>
        </w:rPr>
      </w:pPr>
      <w:r w:rsidRPr="00B62614">
        <w:rPr>
          <w:szCs w:val="24"/>
        </w:rPr>
        <w:t>Evidence odpadů bude vedena dle výše uvedeného zákona a dle vyhlášky Ministerstva životního prostředí č. 383/2001 Sb., o podrobnostech nakládání s odpady, ve znění pozdějších předpisů. Takto vedená evidence odpadů, včetně doložení způsobu odstranění odpadů bude předložena při kolaudaci stavby. Dodavatel zodpovídá za likvidaci veškerých odpadů v rámci realizace stavby.</w:t>
      </w:r>
    </w:p>
    <w:p w:rsidR="00B8679E" w:rsidRPr="00187657" w:rsidRDefault="00B8679E" w:rsidP="00B8679E">
      <w:pPr>
        <w:jc w:val="both"/>
        <w:rPr>
          <w:szCs w:val="24"/>
        </w:rPr>
      </w:pPr>
    </w:p>
    <w:p w:rsidR="00B8679E" w:rsidRPr="00187657" w:rsidRDefault="00B8679E" w:rsidP="00B8679E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1" w:name="_Toc517166863"/>
      <w:r w:rsidRPr="00187657">
        <w:rPr>
          <w:szCs w:val="24"/>
        </w:rPr>
        <w:lastRenderedPageBreak/>
        <w:t>Zvláštní požadavky a podmínky</w:t>
      </w:r>
      <w:bookmarkEnd w:id="11"/>
    </w:p>
    <w:p w:rsidR="000F156D" w:rsidRDefault="000F156D" w:rsidP="000F156D">
      <w:pPr>
        <w:spacing w:before="120" w:line="240" w:lineRule="atLeast"/>
        <w:ind w:firstLine="720"/>
        <w:rPr>
          <w:szCs w:val="24"/>
        </w:rPr>
      </w:pPr>
      <w:r w:rsidRPr="00045867">
        <w:rPr>
          <w:szCs w:val="24"/>
        </w:rPr>
        <w:t>Pokud se provádí jakékoli práce v místech, kde je předpoklad výskytu nepřístupných nebo bez bourání neprokázaných tras jiných vedení, je povinností investora nechat vytýčit tato vedení, případně je zabezpečit nebo vypnout.</w:t>
      </w:r>
    </w:p>
    <w:p w:rsidR="000F156D" w:rsidRPr="00045867" w:rsidRDefault="000F156D" w:rsidP="000F156D">
      <w:pPr>
        <w:spacing w:before="120" w:line="240" w:lineRule="atLeast"/>
        <w:ind w:firstLine="720"/>
        <w:rPr>
          <w:szCs w:val="24"/>
        </w:rPr>
      </w:pPr>
      <w:r w:rsidRPr="00045867">
        <w:rPr>
          <w:szCs w:val="24"/>
        </w:rPr>
        <w:t>Při předání stavby bude povinností dodavatele montážních prací předat odběrateli dokumentaci skutečného provedení, technické podmínky provozu strojů a zařízení a manipulační řád pro všechny systémy dodávky. Na základě těchto podkladů si uživatel zpracuje provozní řád pro každou provozní soustavu.</w:t>
      </w:r>
    </w:p>
    <w:p w:rsidR="00D84BCB" w:rsidRDefault="000F156D" w:rsidP="000F156D">
      <w:pPr>
        <w:pStyle w:val="BodyText2CharChar"/>
        <w:ind w:firstLine="709"/>
        <w:rPr>
          <w:szCs w:val="24"/>
        </w:rPr>
      </w:pPr>
      <w:r w:rsidRPr="00045867">
        <w:rPr>
          <w:szCs w:val="24"/>
        </w:rPr>
        <w:t>Dodavatel je povinen dodržet všechny požadavky dotčených orgánů, které jsou součástí stavebního povolení, stejně tak je povinen dodržet všechny montážní a pracovní postupy zařízení, výrobků a materiálů.</w:t>
      </w:r>
    </w:p>
    <w:p w:rsidR="000F156D" w:rsidRPr="00187657" w:rsidRDefault="000F156D" w:rsidP="000F156D">
      <w:pPr>
        <w:pStyle w:val="BodyText2CharChar"/>
        <w:ind w:firstLine="709"/>
        <w:rPr>
          <w:szCs w:val="24"/>
        </w:rPr>
      </w:pPr>
    </w:p>
    <w:p w:rsidR="00A4540B" w:rsidRPr="00187657" w:rsidRDefault="00A4540B" w:rsidP="00A4540B">
      <w:pPr>
        <w:pStyle w:val="Zkladntext22"/>
        <w:ind w:firstLine="709"/>
        <w:rPr>
          <w:b/>
          <w:szCs w:val="24"/>
        </w:rPr>
      </w:pPr>
      <w:r w:rsidRPr="00187657">
        <w:rPr>
          <w:b/>
          <w:szCs w:val="24"/>
        </w:rPr>
        <w:t>Dodavatel je povinen nechat vytyčit všechny inženýrské sítě vyskytující se v dané lokalitě.</w:t>
      </w:r>
    </w:p>
    <w:p w:rsidR="00B8679E" w:rsidRDefault="00B8679E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Default="000F156D" w:rsidP="00B8679E">
      <w:pPr>
        <w:jc w:val="both"/>
        <w:rPr>
          <w:szCs w:val="24"/>
        </w:rPr>
      </w:pPr>
    </w:p>
    <w:p w:rsidR="000F156D" w:rsidRPr="00187657" w:rsidRDefault="000F156D" w:rsidP="00B8679E">
      <w:pPr>
        <w:jc w:val="both"/>
        <w:rPr>
          <w:szCs w:val="24"/>
        </w:rPr>
      </w:pPr>
    </w:p>
    <w:p w:rsidR="00EC28B9" w:rsidRPr="00187657" w:rsidRDefault="00B8679E" w:rsidP="00D84BCB">
      <w:pPr>
        <w:pStyle w:val="Zhlav"/>
        <w:tabs>
          <w:tab w:val="clear" w:pos="4536"/>
          <w:tab w:val="clear" w:pos="9072"/>
        </w:tabs>
        <w:rPr>
          <w:szCs w:val="24"/>
        </w:rPr>
      </w:pPr>
      <w:r w:rsidRPr="00187657">
        <w:rPr>
          <w:szCs w:val="24"/>
        </w:rPr>
        <w:t xml:space="preserve">V Hodoníně dne: </w:t>
      </w:r>
      <w:r w:rsidR="000F156D">
        <w:rPr>
          <w:szCs w:val="24"/>
        </w:rPr>
        <w:t>27</w:t>
      </w:r>
      <w:r w:rsidRPr="00187657">
        <w:rPr>
          <w:szCs w:val="24"/>
        </w:rPr>
        <w:t xml:space="preserve">. </w:t>
      </w:r>
      <w:r w:rsidR="000F156D">
        <w:rPr>
          <w:szCs w:val="24"/>
        </w:rPr>
        <w:t>7</w:t>
      </w:r>
      <w:r w:rsidRPr="00187657">
        <w:rPr>
          <w:szCs w:val="24"/>
        </w:rPr>
        <w:t>. 201</w:t>
      </w:r>
      <w:r w:rsidR="000F156D">
        <w:rPr>
          <w:szCs w:val="24"/>
        </w:rPr>
        <w:t>8</w:t>
      </w:r>
      <w:r w:rsidRPr="00187657">
        <w:rPr>
          <w:szCs w:val="24"/>
        </w:rPr>
        <w:tab/>
      </w:r>
      <w:r w:rsidRPr="00187657">
        <w:rPr>
          <w:szCs w:val="24"/>
        </w:rPr>
        <w:tab/>
        <w:t xml:space="preserve">                            Vypracoval: Ing. Lukáš Slezák      </w:t>
      </w:r>
    </w:p>
    <w:sectPr w:rsidR="00EC28B9" w:rsidRPr="001876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2BA" w:rsidRDefault="003F42BA" w:rsidP="00B8679E">
      <w:r>
        <w:separator/>
      </w:r>
    </w:p>
  </w:endnote>
  <w:endnote w:type="continuationSeparator" w:id="0">
    <w:p w:rsidR="003F42BA" w:rsidRDefault="003F42BA" w:rsidP="00B8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F16" w:rsidRDefault="00494F16" w:rsidP="00B8679E">
    <w:pPr>
      <w:pStyle w:val="Zpat"/>
      <w:rPr>
        <w:b/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7D2498B" id="Obdélník 3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" fillcolor="gray" stroked="f">
              <w10:anchorlock/>
            </v:rect>
          </w:pict>
        </mc:Fallback>
      </mc:AlternateContent>
    </w:r>
  </w:p>
  <w:p w:rsidR="00494F16" w:rsidRDefault="00773A1F" w:rsidP="00B8679E">
    <w:pPr>
      <w:pStyle w:val="Zpat"/>
    </w:pPr>
    <w:r>
      <w:t>D2-07.3-A.01 Technická zpráva</w:t>
    </w:r>
    <w:r w:rsidR="00494F16">
      <w:tab/>
    </w:r>
    <w:r w:rsidR="00494F16">
      <w:tab/>
    </w:r>
    <w:r w:rsidR="00494F16">
      <w:rPr>
        <w:bCs/>
        <w:szCs w:val="24"/>
      </w:rPr>
      <w:fldChar w:fldCharType="begin"/>
    </w:r>
    <w:r w:rsidR="00494F16">
      <w:rPr>
        <w:bCs/>
      </w:rPr>
      <w:instrText>PAGE</w:instrText>
    </w:r>
    <w:r w:rsidR="00494F16">
      <w:rPr>
        <w:bCs/>
        <w:szCs w:val="24"/>
      </w:rPr>
      <w:fldChar w:fldCharType="separate"/>
    </w:r>
    <w:r w:rsidR="00C665DB">
      <w:rPr>
        <w:bCs/>
        <w:noProof/>
      </w:rPr>
      <w:t>6</w:t>
    </w:r>
    <w:r w:rsidR="00494F16">
      <w:rPr>
        <w:bCs/>
        <w:szCs w:val="24"/>
      </w:rPr>
      <w:fldChar w:fldCharType="end"/>
    </w:r>
    <w:r w:rsidR="00494F16">
      <w:rPr>
        <w:bCs/>
        <w:szCs w:val="24"/>
      </w:rPr>
      <w:t xml:space="preserve"> </w:t>
    </w:r>
    <w:r w:rsidR="00494F16">
      <w:t xml:space="preserve">/ </w:t>
    </w:r>
    <w:r w:rsidR="00494F16">
      <w:rPr>
        <w:bCs/>
        <w:szCs w:val="24"/>
      </w:rPr>
      <w:fldChar w:fldCharType="begin"/>
    </w:r>
    <w:r w:rsidR="00494F16">
      <w:rPr>
        <w:bCs/>
      </w:rPr>
      <w:instrText>NUMPAGES</w:instrText>
    </w:r>
    <w:r w:rsidR="00494F16">
      <w:rPr>
        <w:bCs/>
        <w:szCs w:val="24"/>
      </w:rPr>
      <w:fldChar w:fldCharType="separate"/>
    </w:r>
    <w:r w:rsidR="00C665DB">
      <w:rPr>
        <w:bCs/>
        <w:noProof/>
      </w:rPr>
      <w:t>6</w:t>
    </w:r>
    <w:r w:rsidR="00494F16">
      <w:rPr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2BA" w:rsidRDefault="003F42BA" w:rsidP="00B8679E">
      <w:r>
        <w:separator/>
      </w:r>
    </w:p>
  </w:footnote>
  <w:footnote w:type="continuationSeparator" w:id="0">
    <w:p w:rsidR="003F42BA" w:rsidRDefault="003F42BA" w:rsidP="00B86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A1F" w:rsidRDefault="00494F16" w:rsidP="00773A1F">
    <w:pPr>
      <w:pStyle w:val="Zhlav"/>
      <w:tabs>
        <w:tab w:val="clear" w:pos="4536"/>
        <w:tab w:val="left" w:pos="1276"/>
      </w:tabs>
      <w:rPr>
        <w:b/>
        <w:snapToGrid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919CADF" wp14:editId="4D88B576">
          <wp:simplePos x="0" y="0"/>
          <wp:positionH relativeFrom="column">
            <wp:posOffset>4787265</wp:posOffset>
          </wp:positionH>
          <wp:positionV relativeFrom="paragraph">
            <wp:posOffset>28575</wp:posOffset>
          </wp:positionV>
          <wp:extent cx="975600" cy="69480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STAVBA:</w:t>
    </w:r>
    <w:r>
      <w:rPr>
        <w:b/>
      </w:rPr>
      <w:tab/>
    </w:r>
    <w:r w:rsidR="00773A1F">
      <w:rPr>
        <w:b/>
      </w:rPr>
      <w:t>Přístavba Domova seniorů Břeclav – kuchyně</w:t>
    </w:r>
  </w:p>
  <w:p w:rsidR="00494F16" w:rsidRDefault="00773A1F" w:rsidP="00773A1F">
    <w:pPr>
      <w:pStyle w:val="Zhlav"/>
      <w:tabs>
        <w:tab w:val="clear" w:pos="4536"/>
        <w:tab w:val="left" w:pos="1276"/>
      </w:tabs>
      <w:rPr>
        <w:b/>
      </w:rPr>
    </w:pPr>
    <w:r>
      <w:rPr>
        <w:b/>
      </w:rPr>
      <w:tab/>
      <w:t>Na Pěšina 2842, Břeclav</w:t>
    </w:r>
  </w:p>
  <w:p w:rsidR="00494F16" w:rsidRDefault="00494F16" w:rsidP="00B8679E">
    <w:pPr>
      <w:pStyle w:val="Zhlav"/>
      <w:tabs>
        <w:tab w:val="clear" w:pos="4536"/>
        <w:tab w:val="left" w:pos="1276"/>
      </w:tabs>
      <w:rPr>
        <w:b/>
      </w:rPr>
    </w:pPr>
    <w:r>
      <w:rPr>
        <w:b/>
      </w:rPr>
      <w:t>OBJEKT:</w:t>
    </w:r>
    <w:r>
      <w:rPr>
        <w:b/>
      </w:rPr>
      <w:tab/>
    </w:r>
    <w:r w:rsidR="00773A1F">
      <w:t>SO 07.3 Areálový rozvod dešťové kanalizace</w:t>
    </w:r>
  </w:p>
  <w:p w:rsidR="00494F16" w:rsidRDefault="00773A1F" w:rsidP="00B8679E">
    <w:pPr>
      <w:pStyle w:val="Zhlav"/>
      <w:tabs>
        <w:tab w:val="clear" w:pos="4536"/>
        <w:tab w:val="center" w:pos="-6663"/>
        <w:tab w:val="left" w:pos="1276"/>
      </w:tabs>
    </w:pPr>
    <w:r w:rsidRPr="00045867">
      <w:rPr>
        <w:b/>
        <w:szCs w:val="24"/>
      </w:rPr>
      <w:t>STUPEŇ:</w:t>
    </w:r>
    <w:r w:rsidRPr="00045867">
      <w:rPr>
        <w:b/>
        <w:szCs w:val="24"/>
      </w:rPr>
      <w:tab/>
    </w:r>
    <w:r w:rsidRPr="00045867">
      <w:rPr>
        <w:szCs w:val="24"/>
      </w:rPr>
      <w:t xml:space="preserve">Dokumentace pro </w:t>
    </w:r>
    <w:r w:rsidR="007027E5">
      <w:rPr>
        <w:szCs w:val="24"/>
      </w:rPr>
      <w:t>provedení</w:t>
    </w:r>
    <w:r>
      <w:rPr>
        <w:szCs w:val="24"/>
      </w:rPr>
      <w:t xml:space="preserve"> stavby</w:t>
    </w:r>
  </w:p>
  <w:p w:rsidR="00494F16" w:rsidRDefault="00494F16" w:rsidP="00B8679E">
    <w:pPr>
      <w:pStyle w:val="Zhlav"/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65F1EB7" id="Obdélník 1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" fillcolor="gray" stroked="f">
              <w10:anchorlock/>
            </v:rect>
          </w:pict>
        </mc:Fallback>
      </mc:AlternateContent>
    </w:r>
  </w:p>
  <w:p w:rsidR="00494F16" w:rsidRDefault="00494F16" w:rsidP="00B8679E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CD7"/>
    <w:multiLevelType w:val="multilevel"/>
    <w:tmpl w:val="664E41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D.%2"/>
      <w:lvlJc w:val="left"/>
      <w:pPr>
        <w:tabs>
          <w:tab w:val="num" w:pos="679"/>
        </w:tabs>
        <w:ind w:left="67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77"/>
        </w:tabs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5"/>
        </w:tabs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73"/>
        </w:tabs>
        <w:ind w:left="36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52"/>
        </w:tabs>
        <w:ind w:left="4352" w:hanging="1800"/>
      </w:pPr>
      <w:rPr>
        <w:rFonts w:hint="default"/>
      </w:rPr>
    </w:lvl>
  </w:abstractNum>
  <w:abstractNum w:abstractNumId="1" w15:restartNumberingAfterBreak="0">
    <w:nsid w:val="36382F4A"/>
    <w:multiLevelType w:val="hybridMultilevel"/>
    <w:tmpl w:val="C5141D6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C507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A63D4"/>
    <w:multiLevelType w:val="singleLevel"/>
    <w:tmpl w:val="34B09E18"/>
    <w:lvl w:ilvl="0">
      <w:start w:val="4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9E"/>
    <w:rsid w:val="000461D4"/>
    <w:rsid w:val="000F156D"/>
    <w:rsid w:val="00187657"/>
    <w:rsid w:val="00270301"/>
    <w:rsid w:val="00385844"/>
    <w:rsid w:val="003C74C8"/>
    <w:rsid w:val="003F42BA"/>
    <w:rsid w:val="003F7DC7"/>
    <w:rsid w:val="00415B0C"/>
    <w:rsid w:val="00435ADE"/>
    <w:rsid w:val="00494F16"/>
    <w:rsid w:val="004F75F5"/>
    <w:rsid w:val="00583604"/>
    <w:rsid w:val="006363C1"/>
    <w:rsid w:val="006A76CF"/>
    <w:rsid w:val="006C0887"/>
    <w:rsid w:val="007027E5"/>
    <w:rsid w:val="00773A1F"/>
    <w:rsid w:val="007D42CB"/>
    <w:rsid w:val="00A4540B"/>
    <w:rsid w:val="00B157CC"/>
    <w:rsid w:val="00B35438"/>
    <w:rsid w:val="00B40AEB"/>
    <w:rsid w:val="00B75E41"/>
    <w:rsid w:val="00B8679E"/>
    <w:rsid w:val="00B90955"/>
    <w:rsid w:val="00C665DB"/>
    <w:rsid w:val="00C70BCA"/>
    <w:rsid w:val="00CC0C84"/>
    <w:rsid w:val="00CC3C11"/>
    <w:rsid w:val="00CD622F"/>
    <w:rsid w:val="00D84BCB"/>
    <w:rsid w:val="00D94093"/>
    <w:rsid w:val="00E231FC"/>
    <w:rsid w:val="00EA5AC6"/>
    <w:rsid w:val="00EC28B9"/>
    <w:rsid w:val="00ED5D08"/>
    <w:rsid w:val="00F34FA9"/>
    <w:rsid w:val="00F76660"/>
    <w:rsid w:val="00FA2DCA"/>
    <w:rsid w:val="00FB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4CC61"/>
  <w15:chartTrackingRefBased/>
  <w15:docId w15:val="{1DC9364B-55B5-46D3-B21D-13FA72DC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679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679E"/>
    <w:pPr>
      <w:keepNext/>
      <w:widowControl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867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679E"/>
  </w:style>
  <w:style w:type="paragraph" w:styleId="Zpat">
    <w:name w:val="footer"/>
    <w:basedOn w:val="Normln"/>
    <w:link w:val="ZpatChar"/>
    <w:uiPriority w:val="99"/>
    <w:unhideWhenUsed/>
    <w:rsid w:val="00B867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79E"/>
  </w:style>
  <w:style w:type="character" w:styleId="slostrnky">
    <w:name w:val="page number"/>
    <w:basedOn w:val="Standardnpsmoodstavce"/>
    <w:rsid w:val="00B8679E"/>
  </w:style>
  <w:style w:type="character" w:customStyle="1" w:styleId="Nadpis2Char">
    <w:name w:val="Nadpis 2 Char"/>
    <w:basedOn w:val="Standardnpsmoodstavce"/>
    <w:link w:val="Nadpis2"/>
    <w:rsid w:val="00B8679E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B8679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8679E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B8679E"/>
    <w:pPr>
      <w:widowControl/>
      <w:tabs>
        <w:tab w:val="right" w:pos="9072"/>
      </w:tabs>
      <w:ind w:left="284" w:right="281" w:hanging="284"/>
    </w:pPr>
    <w:rPr>
      <w:b/>
      <w:bCs/>
      <w:smallCaps/>
      <w:snapToGrid/>
      <w:sz w:val="20"/>
      <w:szCs w:val="26"/>
    </w:rPr>
  </w:style>
  <w:style w:type="character" w:styleId="Hypertextovodkaz">
    <w:name w:val="Hyperlink"/>
    <w:uiPriority w:val="99"/>
    <w:rsid w:val="00B8679E"/>
    <w:rPr>
      <w:color w:val="0000FF"/>
      <w:u w:val="single"/>
    </w:rPr>
  </w:style>
  <w:style w:type="paragraph" w:customStyle="1" w:styleId="Zkladntext21">
    <w:name w:val="Základní text 21"/>
    <w:basedOn w:val="Normln"/>
    <w:link w:val="BodyText2Char"/>
    <w:rsid w:val="00B8679E"/>
    <w:pPr>
      <w:widowControl/>
      <w:spacing w:before="120" w:line="240" w:lineRule="atLeast"/>
    </w:pPr>
    <w:rPr>
      <w:snapToGrid/>
    </w:rPr>
  </w:style>
  <w:style w:type="paragraph" w:customStyle="1" w:styleId="BodyText2CharChar">
    <w:name w:val="Body Text 2 Char Char"/>
    <w:basedOn w:val="Normln"/>
    <w:link w:val="BodyText2CharCharChar"/>
    <w:rsid w:val="00B8679E"/>
    <w:pPr>
      <w:widowControl/>
      <w:spacing w:before="120" w:line="240" w:lineRule="atLeast"/>
      <w:ind w:firstLine="720"/>
    </w:pPr>
  </w:style>
  <w:style w:type="character" w:customStyle="1" w:styleId="BodyText2CharCharChar">
    <w:name w:val="Body Text 2 Char Char Char"/>
    <w:link w:val="BodyText2CharChar"/>
    <w:rsid w:val="00B8679E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highlightedglossaryterm">
    <w:name w:val="highlightedglossaryterm"/>
    <w:basedOn w:val="Standardnpsmoodstavce"/>
    <w:rsid w:val="00B8679E"/>
  </w:style>
  <w:style w:type="paragraph" w:customStyle="1" w:styleId="Zkladntext22">
    <w:name w:val="Základní text 22"/>
    <w:basedOn w:val="Normln"/>
    <w:rsid w:val="00A4540B"/>
    <w:pPr>
      <w:widowControl/>
      <w:spacing w:before="120" w:line="240" w:lineRule="atLeast"/>
    </w:pPr>
    <w:rPr>
      <w:snapToGrid/>
    </w:rPr>
  </w:style>
  <w:style w:type="character" w:customStyle="1" w:styleId="BodyText2Char">
    <w:name w:val="Body Text 2 Char"/>
    <w:link w:val="Zkladntext21"/>
    <w:rsid w:val="00B354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4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1702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LandSpace projekty</dc:creator>
  <cp:keywords/>
  <dc:description/>
  <cp:lastModifiedBy>LandSpace projekty</cp:lastModifiedBy>
  <cp:revision>18</cp:revision>
  <dcterms:created xsi:type="dcterms:W3CDTF">2017-02-01T13:02:00Z</dcterms:created>
  <dcterms:modified xsi:type="dcterms:W3CDTF">2018-09-13T13:34:00Z</dcterms:modified>
</cp:coreProperties>
</file>